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F5" w:rsidRDefault="00380BF5" w:rsidP="00F109E2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B69990A" wp14:editId="5D20E661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2383790" cy="798830"/>
            <wp:effectExtent l="0" t="0" r="0" b="1270"/>
            <wp:wrapThrough wrapText="bothSides">
              <wp:wrapPolygon edited="0">
                <wp:start x="0" y="0"/>
                <wp:lineTo x="0" y="21119"/>
                <wp:lineTo x="21404" y="21119"/>
                <wp:lineTo x="214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2938A2E" wp14:editId="4128BCCF">
            <wp:simplePos x="0" y="0"/>
            <wp:positionH relativeFrom="column">
              <wp:posOffset>2276475</wp:posOffset>
            </wp:positionH>
            <wp:positionV relativeFrom="paragraph">
              <wp:posOffset>85725</wp:posOffset>
            </wp:positionV>
            <wp:extent cx="4102735" cy="591185"/>
            <wp:effectExtent l="0" t="0" r="0" b="0"/>
            <wp:wrapThrough wrapText="bothSides">
              <wp:wrapPolygon edited="0">
                <wp:start x="0" y="0"/>
                <wp:lineTo x="0" y="20881"/>
                <wp:lineTo x="21463" y="20881"/>
                <wp:lineTo x="214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BF5" w:rsidRDefault="00380BF5" w:rsidP="00380BF5">
      <w:pPr>
        <w:jc w:val="center"/>
      </w:pPr>
      <w:r w:rsidRPr="00380BF5">
        <w:t xml:space="preserve">Clean Air Council </w:t>
      </w:r>
      <w:r>
        <w:t xml:space="preserve">Corporate Energy Managers </w:t>
      </w:r>
      <w:r w:rsidRPr="00380BF5">
        <w:br/>
        <w:t>Meeting Notes</w:t>
      </w:r>
      <w:r w:rsidRPr="00380BF5">
        <w:br/>
      </w:r>
      <w:r>
        <w:t xml:space="preserve">October </w:t>
      </w:r>
      <w:r w:rsidR="00AF1983">
        <w:t>10</w:t>
      </w:r>
      <w:r w:rsidR="00AF1983" w:rsidRPr="00380BF5">
        <w:rPr>
          <w:vertAlign w:val="superscript"/>
        </w:rPr>
        <w:t>th</w:t>
      </w:r>
      <w:r w:rsidR="00AF1983">
        <w:t xml:space="preserve">, </w:t>
      </w:r>
      <w:r>
        <w:t>2019</w:t>
      </w:r>
    </w:p>
    <w:p w:rsidR="00BE5577" w:rsidRDefault="00BE5577" w:rsidP="00380BF5">
      <w:pPr>
        <w:jc w:val="center"/>
      </w:pPr>
    </w:p>
    <w:p w:rsidR="00BE5577" w:rsidRDefault="00BE5577" w:rsidP="00380BF5">
      <w:pPr>
        <w:jc w:val="center"/>
      </w:pPr>
    </w:p>
    <w:p w:rsidR="00BE5577" w:rsidRPr="00380BF5" w:rsidRDefault="00BE5577" w:rsidP="00380BF5">
      <w:pPr>
        <w:jc w:val="center"/>
      </w:pPr>
      <w:r>
        <w:rPr>
          <w:noProof/>
          <w:lang w:eastAsia="en-CA"/>
        </w:rPr>
        <w:drawing>
          <wp:inline distT="0" distB="0" distL="0" distR="0" wp14:anchorId="7835BCEF" wp14:editId="409E0BA5">
            <wp:extent cx="3486150" cy="2692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709" cy="269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F5" w:rsidRDefault="00380BF5" w:rsidP="00F109E2">
      <w:pPr>
        <w:jc w:val="center"/>
        <w:rPr>
          <w:lang w:val="en-US"/>
        </w:rPr>
      </w:pPr>
    </w:p>
    <w:p w:rsidR="00F109E2" w:rsidRDefault="00F109E2" w:rsidP="00F109E2">
      <w:pPr>
        <w:jc w:val="center"/>
        <w:rPr>
          <w:lang w:val="en-US"/>
        </w:rPr>
      </w:pPr>
    </w:p>
    <w:p w:rsidR="00857CEB" w:rsidRDefault="00380BF5" w:rsidP="00380BF5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380BF5">
        <w:rPr>
          <w:b/>
          <w:lang w:val="en-US"/>
        </w:rPr>
        <w:t>Khaled Abu-</w:t>
      </w:r>
      <w:proofErr w:type="spellStart"/>
      <w:r w:rsidRPr="00380BF5">
        <w:rPr>
          <w:b/>
          <w:lang w:val="en-US"/>
        </w:rPr>
        <w:t>Eseifan</w:t>
      </w:r>
      <w:proofErr w:type="spellEnd"/>
      <w:r w:rsidRPr="00380BF5">
        <w:rPr>
          <w:b/>
          <w:lang w:val="en-US"/>
        </w:rPr>
        <w:t xml:space="preserve"> &amp; Vista, City of Mississauga’s Experience with Business Intelligence Tool to Support Energy Budgeting </w:t>
      </w:r>
      <w:r w:rsidR="00857CEB">
        <w:rPr>
          <w:b/>
          <w:lang w:val="en-US"/>
        </w:rPr>
        <w:t xml:space="preserve">Provide a summary of what the goal of the presentation is </w:t>
      </w:r>
    </w:p>
    <w:p w:rsidR="00380BF5" w:rsidRPr="00286E66" w:rsidRDefault="00380BF5" w:rsidP="00380BF5">
      <w:pPr>
        <w:pStyle w:val="ListParagraph"/>
        <w:rPr>
          <w:b/>
          <w:lang w:val="en-US"/>
        </w:rPr>
      </w:pPr>
    </w:p>
    <w:p w:rsidR="00857CEB" w:rsidRDefault="00380BF5" w:rsidP="00380BF5">
      <w:pPr>
        <w:rPr>
          <w:lang w:val="en-US"/>
        </w:rPr>
      </w:pPr>
      <w:proofErr w:type="spellStart"/>
      <w:r>
        <w:rPr>
          <w:lang w:val="en-US"/>
        </w:rPr>
        <w:t>Vesta</w:t>
      </w:r>
      <w:proofErr w:type="spellEnd"/>
      <w:r>
        <w:rPr>
          <w:lang w:val="en-US"/>
        </w:rPr>
        <w:t xml:space="preserve"> Solutions is a </w:t>
      </w:r>
      <w:r w:rsidRPr="00380BF5">
        <w:rPr>
          <w:lang w:val="en-US"/>
        </w:rPr>
        <w:t>data analytics company specialized in report automation, data visual</w:t>
      </w:r>
      <w:r>
        <w:rPr>
          <w:lang w:val="en-US"/>
        </w:rPr>
        <w:t xml:space="preserve">ization and advanced analytics. </w:t>
      </w:r>
      <w:proofErr w:type="spellStart"/>
      <w:r>
        <w:rPr>
          <w:lang w:val="en-US"/>
        </w:rPr>
        <w:t>Vesta</w:t>
      </w:r>
      <w:proofErr w:type="spellEnd"/>
      <w:r>
        <w:rPr>
          <w:lang w:val="en-US"/>
        </w:rPr>
        <w:t xml:space="preserve"> Solutions</w:t>
      </w:r>
      <w:r w:rsidRPr="00380BF5">
        <w:rPr>
          <w:lang w:val="en-US"/>
        </w:rPr>
        <w:t xml:space="preserve"> help</w:t>
      </w:r>
      <w:r>
        <w:rPr>
          <w:lang w:val="en-US"/>
        </w:rPr>
        <w:t>s</w:t>
      </w:r>
      <w:r w:rsidRPr="00380BF5">
        <w:rPr>
          <w:lang w:val="en-US"/>
        </w:rPr>
        <w:t xml:space="preserve"> companies extract insights out of data, so they improve their decision</w:t>
      </w:r>
      <w:r>
        <w:rPr>
          <w:lang w:val="en-US"/>
        </w:rPr>
        <w:t>-</w:t>
      </w:r>
      <w:r w:rsidRPr="00380BF5">
        <w:rPr>
          <w:lang w:val="en-US"/>
        </w:rPr>
        <w:t xml:space="preserve">making process. </w:t>
      </w:r>
      <w:r>
        <w:rPr>
          <w:lang w:val="en-US"/>
        </w:rPr>
        <w:t xml:space="preserve">The way they do that is by looking at the business need. Once </w:t>
      </w:r>
      <w:r w:rsidRPr="00380BF5">
        <w:rPr>
          <w:lang w:val="en-US"/>
        </w:rPr>
        <w:t xml:space="preserve">established, </w:t>
      </w:r>
      <w:r>
        <w:rPr>
          <w:lang w:val="en-US"/>
        </w:rPr>
        <w:t>they</w:t>
      </w:r>
      <w:r w:rsidRPr="00380BF5">
        <w:rPr>
          <w:lang w:val="en-US"/>
        </w:rPr>
        <w:t xml:space="preserve"> identify data sources, build the analytical model, run it to obtain insights and track outcomes.</w:t>
      </w:r>
    </w:p>
    <w:p w:rsidR="00380BF5" w:rsidRDefault="00380BF5" w:rsidP="00380BF5">
      <w:pPr>
        <w:rPr>
          <w:lang w:val="en-US"/>
        </w:rPr>
      </w:pPr>
      <w:r w:rsidRPr="00380BF5">
        <w:rPr>
          <w:lang w:val="en-US"/>
        </w:rPr>
        <w:t>The purpose of the application is to use the utilities billing data and other criteria imposed by the business to create the budge</w:t>
      </w:r>
      <w:r>
        <w:rPr>
          <w:lang w:val="en-US"/>
        </w:rPr>
        <w:t>t for utilities – the forecast. The Application</w:t>
      </w:r>
      <w:r w:rsidRPr="00380BF5">
        <w:rPr>
          <w:lang w:val="en-US"/>
        </w:rPr>
        <w:t xml:space="preserve"> includes </w:t>
      </w:r>
      <w:r>
        <w:rPr>
          <w:lang w:val="en-US"/>
        </w:rPr>
        <w:t>three</w:t>
      </w:r>
      <w:r w:rsidRPr="00380BF5">
        <w:rPr>
          <w:lang w:val="en-US"/>
        </w:rPr>
        <w:t xml:space="preserve"> main sections: inputs, adjustments, and outputs</w:t>
      </w:r>
      <w:r>
        <w:rPr>
          <w:lang w:val="en-US"/>
        </w:rPr>
        <w:t>/</w:t>
      </w:r>
      <w:r w:rsidRPr="00380BF5">
        <w:rPr>
          <w:lang w:val="en-US"/>
        </w:rPr>
        <w:t xml:space="preserve">reports and </w:t>
      </w:r>
      <w:r>
        <w:rPr>
          <w:lang w:val="en-US"/>
        </w:rPr>
        <w:t>two</w:t>
      </w:r>
      <w:r w:rsidRPr="00380BF5">
        <w:rPr>
          <w:lang w:val="en-US"/>
        </w:rPr>
        <w:t xml:space="preserve"> processing sections: run calendar and run </w:t>
      </w:r>
      <w:r>
        <w:rPr>
          <w:lang w:val="en-US"/>
        </w:rPr>
        <w:t xml:space="preserve">the </w:t>
      </w:r>
      <w:r w:rsidRPr="00380BF5">
        <w:rPr>
          <w:lang w:val="en-US"/>
        </w:rPr>
        <w:t>main reports.</w:t>
      </w:r>
      <w:r w:rsidRPr="00380BF5">
        <w:t xml:space="preserve"> </w:t>
      </w:r>
      <w:r w:rsidRPr="00380BF5">
        <w:rPr>
          <w:lang w:val="en-US"/>
        </w:rPr>
        <w:t>The application runs a process called “calendar normalization</w:t>
      </w:r>
      <w:r>
        <w:rPr>
          <w:lang w:val="en-US"/>
        </w:rPr>
        <w:t>,</w:t>
      </w:r>
      <w:r w:rsidRPr="00380BF5">
        <w:rPr>
          <w:lang w:val="en-US"/>
        </w:rPr>
        <w:t>” where both consumption and amounts are calculated per month.</w:t>
      </w:r>
      <w:r w:rsidRPr="00380BF5">
        <w:t xml:space="preserve"> </w:t>
      </w:r>
      <w:r w:rsidRPr="00380BF5">
        <w:rPr>
          <w:lang w:val="en-US"/>
        </w:rPr>
        <w:t>The application tracks the correlation between the weather and consumption using the CDD and HDD</w:t>
      </w:r>
      <w:r>
        <w:rPr>
          <w:lang w:val="en-US"/>
        </w:rPr>
        <w:t>.  The application allows for a</w:t>
      </w:r>
      <w:r w:rsidRPr="00380BF5">
        <w:rPr>
          <w:lang w:val="en-US"/>
        </w:rPr>
        <w:t xml:space="preserve">djustments for future projects: new </w:t>
      </w:r>
      <w:r w:rsidRPr="00380BF5">
        <w:rPr>
          <w:lang w:val="en-US"/>
        </w:rPr>
        <w:lastRenderedPageBreak/>
        <w:t>building, extensions, retrofitting, etc</w:t>
      </w:r>
      <w:r>
        <w:rPr>
          <w:lang w:val="en-US"/>
        </w:rPr>
        <w:t xml:space="preserve">. The outcomes of this application are various reports on Budget; Forecast; Variance analysis; </w:t>
      </w:r>
      <w:r w:rsidRPr="00380BF5">
        <w:rPr>
          <w:lang w:val="en-US"/>
        </w:rPr>
        <w:t xml:space="preserve">Reporting at </w:t>
      </w:r>
      <w:r>
        <w:rPr>
          <w:lang w:val="en-US"/>
        </w:rPr>
        <w:t xml:space="preserve">the </w:t>
      </w:r>
      <w:r w:rsidRPr="00380BF5">
        <w:rPr>
          <w:lang w:val="en-US"/>
        </w:rPr>
        <w:t>granular level</w:t>
      </w:r>
      <w:r>
        <w:rPr>
          <w:lang w:val="en-US"/>
        </w:rPr>
        <w:t xml:space="preserve">. </w:t>
      </w:r>
    </w:p>
    <w:p w:rsidR="00380BF5" w:rsidRPr="00857CEB" w:rsidRDefault="00380BF5" w:rsidP="00380BF5">
      <w:pPr>
        <w:rPr>
          <w:lang w:val="en-US"/>
        </w:rPr>
      </w:pPr>
    </w:p>
    <w:p w:rsidR="00380BF5" w:rsidRDefault="00482CFB" w:rsidP="00F109E2">
      <w:pPr>
        <w:rPr>
          <w:lang w:val="en-US"/>
        </w:rPr>
      </w:pPr>
      <w:r>
        <w:rPr>
          <w:lang w:val="en-US"/>
        </w:rPr>
        <w:t>Q: Are G</w:t>
      </w:r>
      <w:r w:rsidR="003F4F56">
        <w:rPr>
          <w:lang w:val="en-US"/>
        </w:rPr>
        <w:t>HG emission</w:t>
      </w:r>
      <w:r w:rsidR="00380BF5">
        <w:rPr>
          <w:lang w:val="en-US"/>
        </w:rPr>
        <w:t>s</w:t>
      </w:r>
      <w:r w:rsidR="003F4F56">
        <w:rPr>
          <w:lang w:val="en-US"/>
        </w:rPr>
        <w:t xml:space="preserve"> incorporated in the dashboard</w:t>
      </w:r>
      <w:r>
        <w:rPr>
          <w:lang w:val="en-US"/>
        </w:rPr>
        <w:t xml:space="preserve">? </w:t>
      </w:r>
    </w:p>
    <w:p w:rsidR="00482CFB" w:rsidRDefault="00380BF5" w:rsidP="00F109E2">
      <w:pPr>
        <w:rPr>
          <w:lang w:val="en-US"/>
        </w:rPr>
      </w:pPr>
      <w:r>
        <w:rPr>
          <w:lang w:val="en-US"/>
        </w:rPr>
        <w:t xml:space="preserve">A: </w:t>
      </w:r>
      <w:r w:rsidR="00857CEB">
        <w:rPr>
          <w:lang w:val="en-US"/>
        </w:rPr>
        <w:t>The purpose of the software is for energy budgeting and not for GHG</w:t>
      </w:r>
      <w:r w:rsidR="005647A5">
        <w:rPr>
          <w:lang w:val="en-US"/>
        </w:rPr>
        <w:t xml:space="preserve"> emission</w:t>
      </w:r>
      <w:r>
        <w:rPr>
          <w:lang w:val="en-US"/>
        </w:rPr>
        <w:t>s. T</w:t>
      </w:r>
      <w:r w:rsidR="005647A5">
        <w:rPr>
          <w:lang w:val="en-US"/>
        </w:rPr>
        <w:t>racking</w:t>
      </w:r>
      <w:r>
        <w:rPr>
          <w:lang w:val="en-US"/>
        </w:rPr>
        <w:t>,</w:t>
      </w:r>
      <w:r w:rsidR="005647A5">
        <w:rPr>
          <w:lang w:val="en-US"/>
        </w:rPr>
        <w:t xml:space="preserve"> however</w:t>
      </w:r>
      <w:r>
        <w:rPr>
          <w:lang w:val="en-US"/>
        </w:rPr>
        <w:t>,</w:t>
      </w:r>
      <w:r w:rsidR="005647A5">
        <w:rPr>
          <w:lang w:val="en-US"/>
        </w:rPr>
        <w:t xml:space="preserve"> based on the outcomes of the software analysis</w:t>
      </w:r>
      <w:r>
        <w:rPr>
          <w:lang w:val="en-US"/>
        </w:rPr>
        <w:t xml:space="preserve"> for budgeting,</w:t>
      </w:r>
      <w:r w:rsidR="005647A5">
        <w:rPr>
          <w:lang w:val="en-US"/>
        </w:rPr>
        <w:t xml:space="preserve"> can easily be converted to GHG emissions</w:t>
      </w:r>
      <w:r>
        <w:rPr>
          <w:lang w:val="en-US"/>
        </w:rPr>
        <w:t>,</w:t>
      </w:r>
      <w:r w:rsidR="005647A5">
        <w:rPr>
          <w:lang w:val="en-US"/>
        </w:rPr>
        <w:t xml:space="preserve"> but it isn’t done within the software.  </w:t>
      </w:r>
    </w:p>
    <w:p w:rsidR="0001685B" w:rsidRDefault="0001685B" w:rsidP="00F109E2">
      <w:pPr>
        <w:rPr>
          <w:lang w:val="en-US"/>
        </w:rPr>
      </w:pPr>
    </w:p>
    <w:p w:rsidR="00380BF5" w:rsidRPr="00380BF5" w:rsidRDefault="001839F0" w:rsidP="00380BF5">
      <w:pPr>
        <w:pStyle w:val="ListParagraph"/>
        <w:numPr>
          <w:ilvl w:val="0"/>
          <w:numId w:val="2"/>
        </w:numPr>
        <w:rPr>
          <w:lang w:val="en-US"/>
        </w:rPr>
      </w:pPr>
      <w:r w:rsidRPr="00380BF5">
        <w:rPr>
          <w:lang w:val="en-US"/>
        </w:rPr>
        <w:t xml:space="preserve"> </w:t>
      </w:r>
      <w:r w:rsidR="00380BF5" w:rsidRPr="00380BF5">
        <w:rPr>
          <w:b/>
          <w:lang w:val="en-US"/>
        </w:rPr>
        <w:t xml:space="preserve">Dejan Skoric, City of Toronto, Recoverable Debt Financing Model &amp; Mount Dennis Net Zero Emission Building </w:t>
      </w:r>
    </w:p>
    <w:p w:rsidR="0001685B" w:rsidRPr="00380BF5" w:rsidRDefault="005647A5" w:rsidP="00380BF5">
      <w:pPr>
        <w:rPr>
          <w:lang w:val="en-US"/>
        </w:rPr>
      </w:pPr>
      <w:r w:rsidRPr="00380BF5">
        <w:rPr>
          <w:lang w:val="en-US"/>
        </w:rPr>
        <w:t>Toronto j</w:t>
      </w:r>
      <w:r w:rsidR="00380BF5" w:rsidRPr="00380BF5">
        <w:rPr>
          <w:lang w:val="en-US"/>
        </w:rPr>
        <w:t>ust recently passed a Climate Em</w:t>
      </w:r>
      <w:r w:rsidRPr="00380BF5">
        <w:rPr>
          <w:lang w:val="en-US"/>
        </w:rPr>
        <w:t xml:space="preserve">ergency and increased </w:t>
      </w:r>
      <w:r w:rsidR="00380BF5">
        <w:rPr>
          <w:lang w:val="en-US"/>
        </w:rPr>
        <w:t>its</w:t>
      </w:r>
      <w:r w:rsidRPr="00380BF5">
        <w:rPr>
          <w:lang w:val="en-US"/>
        </w:rPr>
        <w:t xml:space="preserve"> GHG reduction target to be net zero emissions by</w:t>
      </w:r>
      <w:r w:rsidR="00380BF5">
        <w:rPr>
          <w:lang w:val="en-US"/>
        </w:rPr>
        <w:t xml:space="preserve"> 2050. </w:t>
      </w:r>
    </w:p>
    <w:p w:rsidR="009254BD" w:rsidRDefault="005647A5" w:rsidP="00380BF5">
      <w:pPr>
        <w:rPr>
          <w:lang w:val="en-US"/>
        </w:rPr>
      </w:pPr>
      <w:r>
        <w:rPr>
          <w:lang w:val="en-US"/>
        </w:rPr>
        <w:t>The City used to have an energy efficiency revolving fund but that fund was moved towards a recoverable debt financing model. That recoverable debt model has been used to finance energy effi</w:t>
      </w:r>
      <w:r w:rsidR="00380BF5">
        <w:rPr>
          <w:lang w:val="en-US"/>
        </w:rPr>
        <w:t>cie</w:t>
      </w:r>
      <w:r>
        <w:rPr>
          <w:lang w:val="en-US"/>
        </w:rPr>
        <w:t xml:space="preserve">ncy for the City and its Agencies, Boards and Commissions through a program called the Sustainable Energy Plan Financing Program. In 2018 the City approved the expansion of that program </w:t>
      </w:r>
      <w:r w:rsidRPr="005647A5">
        <w:rPr>
          <w:lang w:val="en-US"/>
        </w:rPr>
        <w:t xml:space="preserve">to include academic, social, healthcare, industrial, and commercial sectors, including privately-owned buildings and condominium buildings located in the city of Toronto to better align the program with </w:t>
      </w:r>
      <w:proofErr w:type="spellStart"/>
      <w:r w:rsidRPr="005647A5">
        <w:rPr>
          <w:lang w:val="en-US"/>
        </w:rPr>
        <w:t>TransformTO</w:t>
      </w:r>
      <w:proofErr w:type="spellEnd"/>
      <w:r>
        <w:rPr>
          <w:lang w:val="en-US"/>
        </w:rPr>
        <w:t xml:space="preserve">. </w:t>
      </w:r>
      <w:r w:rsidR="00380BF5">
        <w:rPr>
          <w:lang w:val="en-US"/>
        </w:rPr>
        <w:t>This approval</w:t>
      </w:r>
      <w:r w:rsidR="009254BD" w:rsidRPr="009254BD">
        <w:rPr>
          <w:lang w:val="en-US"/>
        </w:rPr>
        <w:t xml:space="preserve"> will have no immediate financial impact as the rate charged to all participants in the Sustainable Energy Plan Financing (SEPF) program is the City's cost of borrowing.</w:t>
      </w:r>
    </w:p>
    <w:p w:rsidR="009254BD" w:rsidRDefault="009254BD" w:rsidP="00380BF5">
      <w:pPr>
        <w:rPr>
          <w:lang w:val="en-US"/>
        </w:rPr>
      </w:pPr>
      <w:r w:rsidRPr="009254BD">
        <w:rPr>
          <w:lang w:val="en-US"/>
        </w:rPr>
        <w:t xml:space="preserve">Since 2013, the total participation in the SEPF program stands at $53 Million, including projects with approved upcoming scheduled disbursements. $35.2 Million of the total participation consists of one loan to Toronto Community Housing Corporation (TCHC) to perform deep energy retrofits in nine of their buildings. In conjunction with a $28.4 </w:t>
      </w:r>
      <w:r w:rsidR="00380BF5">
        <w:rPr>
          <w:lang w:val="en-US"/>
        </w:rPr>
        <w:t>m</w:t>
      </w:r>
      <w:r w:rsidRPr="009254BD">
        <w:rPr>
          <w:lang w:val="en-US"/>
        </w:rPr>
        <w:t>illion grant from the Province of Ontario, TCHC was able to undertake a $63.6 Million energy retrofit</w:t>
      </w:r>
      <w:r w:rsidR="00380BF5">
        <w:rPr>
          <w:lang w:val="en-US"/>
        </w:rPr>
        <w:t>,</w:t>
      </w:r>
      <w:r w:rsidRPr="009254BD">
        <w:rPr>
          <w:lang w:val="en-US"/>
        </w:rPr>
        <w:t xml:space="preserve"> which reduced its state of good repair backlog by $41 Million. The remaining participation is comprised of a $7.2 </w:t>
      </w:r>
      <w:r w:rsidR="00380BF5">
        <w:rPr>
          <w:lang w:val="en-US"/>
        </w:rPr>
        <w:t>m</w:t>
      </w:r>
      <w:r w:rsidRPr="009254BD">
        <w:rPr>
          <w:lang w:val="en-US"/>
        </w:rPr>
        <w:t>illion loan to the YMCA and various projects for City agencies, corporations, divisions and community-based entities (including not-for-profits).</w:t>
      </w:r>
    </w:p>
    <w:p w:rsidR="009254BD" w:rsidRDefault="009254BD" w:rsidP="00380BF5">
      <w:pPr>
        <w:rPr>
          <w:lang w:val="en-US"/>
        </w:rPr>
      </w:pPr>
      <w:r>
        <w:rPr>
          <w:lang w:val="en-US"/>
        </w:rPr>
        <w:t>The eligibility of energy efficiency paybacks that is eligible for the financing has been move</w:t>
      </w:r>
      <w:r w:rsidR="00A04498">
        <w:rPr>
          <w:lang w:val="en-US"/>
        </w:rPr>
        <w:t xml:space="preserve">d to </w:t>
      </w:r>
      <w:r w:rsidR="00380BF5">
        <w:rPr>
          <w:lang w:val="en-US"/>
        </w:rPr>
        <w:t xml:space="preserve">the </w:t>
      </w:r>
      <w:r w:rsidR="00A04498">
        <w:rPr>
          <w:lang w:val="en-US"/>
        </w:rPr>
        <w:t>lifecycle of measure or 20</w:t>
      </w:r>
      <w:r w:rsidR="00380BF5">
        <w:rPr>
          <w:lang w:val="en-US"/>
        </w:rPr>
        <w:t>-</w:t>
      </w:r>
      <w:r w:rsidR="00A04498">
        <w:rPr>
          <w:lang w:val="en-US"/>
        </w:rPr>
        <w:t>year</w:t>
      </w:r>
      <w:r>
        <w:rPr>
          <w:lang w:val="en-US"/>
        </w:rPr>
        <w:t xml:space="preserve"> payback. </w:t>
      </w:r>
    </w:p>
    <w:p w:rsidR="00052F85" w:rsidRDefault="009254BD" w:rsidP="00052F85">
      <w:pPr>
        <w:rPr>
          <w:lang w:val="en-US"/>
        </w:rPr>
      </w:pPr>
      <w:r>
        <w:rPr>
          <w:lang w:val="en-US"/>
        </w:rPr>
        <w:t>The initial focus during the first year of this expansion has been education to new</w:t>
      </w:r>
      <w:r w:rsidR="00380BF5">
        <w:rPr>
          <w:lang w:val="en-US"/>
        </w:rPr>
        <w:t>ly</w:t>
      </w:r>
      <w:r>
        <w:rPr>
          <w:lang w:val="en-US"/>
        </w:rPr>
        <w:t xml:space="preserve"> eligible participants</w:t>
      </w:r>
      <w:r w:rsidR="00052F85">
        <w:rPr>
          <w:lang w:val="en-US"/>
        </w:rPr>
        <w:t>. For example</w:t>
      </w:r>
      <w:r w:rsidR="00380BF5">
        <w:rPr>
          <w:lang w:val="en-US"/>
        </w:rPr>
        <w:t>,</w:t>
      </w:r>
      <w:r w:rsidR="00052F85">
        <w:rPr>
          <w:lang w:val="en-US"/>
        </w:rPr>
        <w:t xml:space="preserve"> </w:t>
      </w:r>
      <w:r w:rsidR="00052F85" w:rsidRPr="0096390F">
        <w:rPr>
          <w:lang w:val="en-US"/>
        </w:rPr>
        <w:t>2.5% is better than a bank</w:t>
      </w:r>
      <w:r w:rsidR="00052F85">
        <w:rPr>
          <w:lang w:val="en-US"/>
        </w:rPr>
        <w:t xml:space="preserve"> provides (approx. 5%)</w:t>
      </w:r>
      <w:r w:rsidR="00380BF5">
        <w:rPr>
          <w:lang w:val="en-US"/>
        </w:rPr>
        <w:t>,</w:t>
      </w:r>
      <w:r w:rsidR="00052F85" w:rsidRPr="0096390F">
        <w:rPr>
          <w:lang w:val="en-US"/>
        </w:rPr>
        <w:t xml:space="preserve"> so that </w:t>
      </w:r>
      <w:r w:rsidR="00052F85">
        <w:rPr>
          <w:lang w:val="en-US"/>
        </w:rPr>
        <w:t xml:space="preserve">provides a better rationale to move them towards </w:t>
      </w:r>
      <w:r w:rsidR="00052F85" w:rsidRPr="0096390F">
        <w:rPr>
          <w:lang w:val="en-US"/>
        </w:rPr>
        <w:t>Tier 2</w:t>
      </w:r>
      <w:r w:rsidR="00052F85">
        <w:rPr>
          <w:lang w:val="en-US"/>
        </w:rPr>
        <w:t xml:space="preserve"> or 3 of the Toronto Green Standard. </w:t>
      </w:r>
    </w:p>
    <w:p w:rsidR="009254BD" w:rsidRDefault="009254BD" w:rsidP="00380BF5">
      <w:pPr>
        <w:rPr>
          <w:lang w:val="en-US"/>
        </w:rPr>
      </w:pPr>
    </w:p>
    <w:p w:rsidR="00425712" w:rsidRDefault="009254BD" w:rsidP="00380BF5">
      <w:pPr>
        <w:rPr>
          <w:lang w:val="en-US"/>
        </w:rPr>
      </w:pPr>
      <w:r>
        <w:rPr>
          <w:lang w:val="en-US"/>
        </w:rPr>
        <w:t>Q: How are you handling default risk?</w:t>
      </w:r>
    </w:p>
    <w:p w:rsidR="009254BD" w:rsidRPr="005647A5" w:rsidRDefault="00425712" w:rsidP="00380BF5">
      <w:pPr>
        <w:rPr>
          <w:lang w:val="en-US"/>
        </w:rPr>
      </w:pPr>
      <w:r>
        <w:rPr>
          <w:lang w:val="en-US"/>
        </w:rPr>
        <w:t>A:</w:t>
      </w:r>
      <w:r w:rsidR="0021148F">
        <w:rPr>
          <w:lang w:val="en-US"/>
        </w:rPr>
        <w:t xml:space="preserve"> </w:t>
      </w:r>
      <w:r w:rsidR="0021148F">
        <w:rPr>
          <w:sz w:val="23"/>
          <w:szCs w:val="23"/>
        </w:rPr>
        <w:t>The City has not had any issues with recoverability on any of the loans in the program to date. Further, the SEPF program developed a process for monitoring loan repayments</w:t>
      </w:r>
      <w:r>
        <w:rPr>
          <w:sz w:val="23"/>
          <w:szCs w:val="23"/>
        </w:rPr>
        <w:t>,</w:t>
      </w:r>
      <w:r w:rsidR="0021148F">
        <w:rPr>
          <w:sz w:val="23"/>
          <w:szCs w:val="23"/>
        </w:rPr>
        <w:t xml:space="preserve"> which also defines the actions to take in the event a loan is in arrears.</w:t>
      </w:r>
      <w:r w:rsidR="0021148F">
        <w:rPr>
          <w:lang w:val="en-US"/>
        </w:rPr>
        <w:t xml:space="preserve"> </w:t>
      </w:r>
      <w:r w:rsidR="009254BD">
        <w:rPr>
          <w:lang w:val="en-US"/>
        </w:rPr>
        <w:t xml:space="preserve"> </w:t>
      </w:r>
      <w:r w:rsidR="009254BD" w:rsidRPr="009254BD">
        <w:rPr>
          <w:lang w:val="en-US"/>
        </w:rPr>
        <w:t>It is not expected that new</w:t>
      </w:r>
      <w:r>
        <w:rPr>
          <w:lang w:val="en-US"/>
        </w:rPr>
        <w:t>ly</w:t>
      </w:r>
      <w:r w:rsidR="009254BD" w:rsidRPr="009254BD">
        <w:rPr>
          <w:lang w:val="en-US"/>
        </w:rPr>
        <w:t xml:space="preserve"> qualified borrowers </w:t>
      </w:r>
      <w:r w:rsidR="009254BD" w:rsidRPr="009254BD">
        <w:rPr>
          <w:lang w:val="en-US"/>
        </w:rPr>
        <w:lastRenderedPageBreak/>
        <w:t>will significantly affect the risk profile of the Sustainable Energy Plan Financing program. Under the current SEPF program, arms-length applicants undergo a financial review through Corporate Finance to assess the risk of repayment. Under the amended program eligibility criteria, the financial review process will remain unchanged</w:t>
      </w:r>
      <w:r>
        <w:rPr>
          <w:lang w:val="en-US"/>
        </w:rPr>
        <w:t>,</w:t>
      </w:r>
      <w:r w:rsidR="009254BD" w:rsidRPr="009254BD">
        <w:rPr>
          <w:lang w:val="en-US"/>
        </w:rPr>
        <w:t xml:space="preserve"> and Corporate Finance will perform the same risk assessment of new applicants.</w:t>
      </w:r>
    </w:p>
    <w:p w:rsidR="00425712" w:rsidRDefault="00425712" w:rsidP="00F109E2">
      <w:pPr>
        <w:rPr>
          <w:lang w:val="en-US"/>
        </w:rPr>
      </w:pPr>
      <w:r>
        <w:rPr>
          <w:lang w:val="en-US"/>
        </w:rPr>
        <w:t>Q:</w:t>
      </w:r>
      <w:r w:rsidR="002A7395">
        <w:rPr>
          <w:lang w:val="en-US"/>
        </w:rPr>
        <w:t xml:space="preserve"> </w:t>
      </w:r>
      <w:r w:rsidR="009254BD">
        <w:rPr>
          <w:lang w:val="en-US"/>
        </w:rPr>
        <w:t xml:space="preserve">How do you address the differences between avoided costs and cost savings with the participants in the program? </w:t>
      </w:r>
    </w:p>
    <w:p w:rsidR="00BA0A6D" w:rsidRDefault="00425712" w:rsidP="00F109E2">
      <w:pPr>
        <w:rPr>
          <w:lang w:val="en-US"/>
        </w:rPr>
      </w:pPr>
      <w:r>
        <w:rPr>
          <w:lang w:val="en-US"/>
        </w:rPr>
        <w:t xml:space="preserve">A: </w:t>
      </w:r>
      <w:r w:rsidR="009254BD">
        <w:rPr>
          <w:lang w:val="en-US"/>
        </w:rPr>
        <w:t>So they reduced their energy use</w:t>
      </w:r>
      <w:r>
        <w:rPr>
          <w:lang w:val="en-US"/>
        </w:rPr>
        <w:t>,</w:t>
      </w:r>
      <w:r w:rsidR="009254BD">
        <w:rPr>
          <w:lang w:val="en-US"/>
        </w:rPr>
        <w:t xml:space="preserve"> but as a result of energy price</w:t>
      </w:r>
      <w:r w:rsidR="002A7395">
        <w:rPr>
          <w:lang w:val="en-US"/>
        </w:rPr>
        <w:t>s</w:t>
      </w:r>
      <w:r>
        <w:rPr>
          <w:lang w:val="en-US"/>
        </w:rPr>
        <w:t>,</w:t>
      </w:r>
      <w:r w:rsidR="009254BD">
        <w:rPr>
          <w:lang w:val="en-US"/>
        </w:rPr>
        <w:t xml:space="preserve"> </w:t>
      </w:r>
      <w:r>
        <w:rPr>
          <w:lang w:val="en-US"/>
        </w:rPr>
        <w:t xml:space="preserve">there is an </w:t>
      </w:r>
      <w:r w:rsidR="009254BD">
        <w:rPr>
          <w:lang w:val="en-US"/>
        </w:rPr>
        <w:t>increas</w:t>
      </w:r>
      <w:r>
        <w:rPr>
          <w:lang w:val="en-US"/>
        </w:rPr>
        <w:t>e in</w:t>
      </w:r>
      <w:r w:rsidR="009254BD">
        <w:rPr>
          <w:lang w:val="en-US"/>
        </w:rPr>
        <w:t xml:space="preserve"> energy costs</w:t>
      </w:r>
      <w:r>
        <w:rPr>
          <w:lang w:val="en-US"/>
        </w:rPr>
        <w:t xml:space="preserve">. </w:t>
      </w:r>
      <w:r w:rsidR="009254BD">
        <w:rPr>
          <w:lang w:val="en-US"/>
        </w:rPr>
        <w:t>The focus is on avoided costs</w:t>
      </w:r>
      <w:r w:rsidR="002A7395">
        <w:rPr>
          <w:lang w:val="en-US"/>
        </w:rPr>
        <w:t>,</w:t>
      </w:r>
      <w:r w:rsidR="009254BD">
        <w:rPr>
          <w:lang w:val="en-US"/>
        </w:rPr>
        <w:t xml:space="preserve"> and the expectations and communications speak to energy reductions</w:t>
      </w:r>
      <w:r w:rsidR="00052F85">
        <w:rPr>
          <w:lang w:val="en-US"/>
        </w:rPr>
        <w:t xml:space="preserve">. </w:t>
      </w:r>
    </w:p>
    <w:p w:rsidR="00BA0A6D" w:rsidRDefault="00BA0A6D" w:rsidP="00F109E2">
      <w:pPr>
        <w:rPr>
          <w:lang w:val="en-US"/>
        </w:rPr>
      </w:pPr>
    </w:p>
    <w:p w:rsidR="0096390F" w:rsidRDefault="0096390F" w:rsidP="00BA0A6D">
      <w:pPr>
        <w:rPr>
          <w:lang w:val="en-US"/>
        </w:rPr>
      </w:pPr>
      <w:r>
        <w:rPr>
          <w:lang w:val="en-US"/>
        </w:rPr>
        <w:t xml:space="preserve">Q: </w:t>
      </w:r>
      <w:r w:rsidR="00BA0A6D">
        <w:rPr>
          <w:lang w:val="en-US"/>
        </w:rPr>
        <w:t xml:space="preserve">How do you control for after getting </w:t>
      </w:r>
      <w:r w:rsidR="002A7395">
        <w:rPr>
          <w:lang w:val="en-US"/>
        </w:rPr>
        <w:t xml:space="preserve">the </w:t>
      </w:r>
      <w:r w:rsidR="00BA0A6D">
        <w:rPr>
          <w:lang w:val="en-US"/>
        </w:rPr>
        <w:t>money that they will comply with GHG reduction</w:t>
      </w:r>
      <w:r>
        <w:rPr>
          <w:lang w:val="en-US"/>
        </w:rPr>
        <w:t xml:space="preserve">? </w:t>
      </w:r>
    </w:p>
    <w:p w:rsidR="00BA0A6D" w:rsidRDefault="0096390F" w:rsidP="00BA0A6D">
      <w:pPr>
        <w:rPr>
          <w:lang w:val="en-US"/>
        </w:rPr>
      </w:pPr>
      <w:r>
        <w:rPr>
          <w:lang w:val="en-US"/>
        </w:rPr>
        <w:t>A: W</w:t>
      </w:r>
      <w:r w:rsidR="00BA0A6D">
        <w:rPr>
          <w:lang w:val="en-US"/>
        </w:rPr>
        <w:t xml:space="preserve">e are building ways to keep </w:t>
      </w:r>
      <w:r>
        <w:rPr>
          <w:lang w:val="en-US"/>
        </w:rPr>
        <w:t xml:space="preserve">them honest – trying not to use </w:t>
      </w:r>
      <w:r w:rsidR="00BA0A6D">
        <w:rPr>
          <w:lang w:val="en-US"/>
        </w:rPr>
        <w:t>the stick but incentivize to do better – but we</w:t>
      </w:r>
      <w:r w:rsidR="00F25FE8">
        <w:rPr>
          <w:lang w:val="en-US"/>
        </w:rPr>
        <w:t xml:space="preserve"> still need to work on </w:t>
      </w:r>
      <w:r w:rsidR="002A7395">
        <w:rPr>
          <w:lang w:val="en-US"/>
        </w:rPr>
        <w:t xml:space="preserve">a </w:t>
      </w:r>
      <w:r w:rsidR="00F25FE8">
        <w:rPr>
          <w:lang w:val="en-US"/>
        </w:rPr>
        <w:t xml:space="preserve">solution. </w:t>
      </w:r>
    </w:p>
    <w:p w:rsidR="00BA0A6D" w:rsidRDefault="00BA0A6D" w:rsidP="00BA0A6D">
      <w:pPr>
        <w:rPr>
          <w:lang w:val="en-US"/>
        </w:rPr>
      </w:pPr>
    </w:p>
    <w:p w:rsidR="00247E39" w:rsidRDefault="00247E39" w:rsidP="00F109E2">
      <w:pPr>
        <w:rPr>
          <w:lang w:val="en-US"/>
        </w:rPr>
      </w:pPr>
      <w:r>
        <w:rPr>
          <w:lang w:val="en-US"/>
        </w:rPr>
        <w:t xml:space="preserve">Q: </w:t>
      </w:r>
      <w:r w:rsidR="00410917">
        <w:rPr>
          <w:lang w:val="en-US"/>
        </w:rPr>
        <w:t xml:space="preserve">How many people </w:t>
      </w:r>
      <w:r>
        <w:rPr>
          <w:lang w:val="en-US"/>
        </w:rPr>
        <w:t xml:space="preserve">are the </w:t>
      </w:r>
      <w:r w:rsidR="00410917">
        <w:rPr>
          <w:lang w:val="en-US"/>
        </w:rPr>
        <w:t>energy staff</w:t>
      </w:r>
      <w:r>
        <w:rPr>
          <w:lang w:val="en-US"/>
        </w:rPr>
        <w:t xml:space="preserve"> dealing with RD?</w:t>
      </w:r>
    </w:p>
    <w:p w:rsidR="00365606" w:rsidRDefault="00247E39" w:rsidP="00F109E2">
      <w:pPr>
        <w:rPr>
          <w:lang w:val="en-US"/>
        </w:rPr>
      </w:pPr>
      <w:r>
        <w:rPr>
          <w:lang w:val="en-US"/>
        </w:rPr>
        <w:t xml:space="preserve">A: </w:t>
      </w:r>
      <w:r w:rsidR="0021148F">
        <w:rPr>
          <w:lang w:val="en-US"/>
        </w:rPr>
        <w:t xml:space="preserve">A few </w:t>
      </w:r>
      <w:r>
        <w:rPr>
          <w:lang w:val="en-US"/>
        </w:rPr>
        <w:t>s</w:t>
      </w:r>
      <w:r w:rsidR="00410917">
        <w:rPr>
          <w:lang w:val="en-US"/>
        </w:rPr>
        <w:t>enior engineers</w:t>
      </w:r>
      <w:r>
        <w:rPr>
          <w:lang w:val="en-US"/>
        </w:rPr>
        <w:t xml:space="preserve"> </w:t>
      </w:r>
      <w:r w:rsidR="00052F85">
        <w:rPr>
          <w:lang w:val="en-US"/>
        </w:rPr>
        <w:t xml:space="preserve">are involved in the </w:t>
      </w:r>
      <w:r w:rsidR="00052F85">
        <w:rPr>
          <w:sz w:val="23"/>
          <w:szCs w:val="23"/>
        </w:rPr>
        <w:t xml:space="preserve">technical feasibility review and a business case analysis to determine if the proposed project can repay the principal loan and interest with the projected energy savings. </w:t>
      </w:r>
      <w:r w:rsidR="00052F85">
        <w:rPr>
          <w:lang w:val="en-US"/>
        </w:rPr>
        <w:t xml:space="preserve">While there are a number of staff involved in the program it isn’t their full time job it is for their review of applications. </w:t>
      </w:r>
    </w:p>
    <w:p w:rsidR="00AB0BBF" w:rsidRDefault="00AB0BBF" w:rsidP="00F109E2">
      <w:pPr>
        <w:rPr>
          <w:lang w:val="en-US"/>
        </w:rPr>
      </w:pPr>
    </w:p>
    <w:p w:rsidR="00AB0BBF" w:rsidRPr="00AB0BBF" w:rsidRDefault="00AB0BBF" w:rsidP="00AB0BBF">
      <w:pPr>
        <w:rPr>
          <w:b/>
          <w:lang w:val="en-US"/>
        </w:rPr>
      </w:pPr>
      <w:r w:rsidRPr="00AB0BBF">
        <w:rPr>
          <w:b/>
          <w:lang w:val="en-US"/>
        </w:rPr>
        <w:t>Mount Dennis Childcare: The City of Toronto's first Net Zero Facility</w:t>
      </w:r>
    </w:p>
    <w:p w:rsidR="00AB0BBF" w:rsidRPr="00AB0BBF" w:rsidRDefault="00AB0BBF">
      <w:pPr>
        <w:rPr>
          <w:lang w:val="en-US"/>
        </w:rPr>
      </w:pPr>
      <w:r w:rsidRPr="00AB0BBF">
        <w:rPr>
          <w:lang w:val="en-US"/>
        </w:rPr>
        <w:t xml:space="preserve">The Request for Proposal (RFP) for Architect asked to specify </w:t>
      </w:r>
      <w:proofErr w:type="spellStart"/>
      <w:r w:rsidRPr="00AB0BBF">
        <w:rPr>
          <w:lang w:val="en-US"/>
        </w:rPr>
        <w:t>fo</w:t>
      </w:r>
      <w:proofErr w:type="spellEnd"/>
      <w:r w:rsidRPr="00AB0BBF">
        <w:rPr>
          <w:lang w:val="en-US"/>
        </w:rPr>
        <w:t xml:space="preserve"> a Net Zero Building, incorporating Passive design principles,</w:t>
      </w:r>
      <w:r w:rsidRPr="00AB0BBF">
        <w:t xml:space="preserve"> </w:t>
      </w:r>
      <w:r w:rsidRPr="00AB0BBF">
        <w:rPr>
          <w:lang w:val="en-US"/>
        </w:rPr>
        <w:t xml:space="preserve">Carbon Embodied Solutions, and Net-zero Energy. The RFP required that design meets the </w:t>
      </w:r>
      <w:proofErr w:type="spellStart"/>
      <w:r w:rsidRPr="00AB0BBF">
        <w:rPr>
          <w:lang w:val="en-US"/>
        </w:rPr>
        <w:t>CaGBC’s</w:t>
      </w:r>
      <w:proofErr w:type="spellEnd"/>
      <w:r w:rsidRPr="00AB0BBF">
        <w:rPr>
          <w:lang w:val="en-US"/>
        </w:rPr>
        <w:t xml:space="preserve"> Zero Carbon Standard and have a third-party M&amp;V.</w:t>
      </w:r>
    </w:p>
    <w:p w:rsidR="00AB0BBF" w:rsidRDefault="00AB0BBF">
      <w:pPr>
        <w:rPr>
          <w:lang w:val="en-US"/>
        </w:rPr>
      </w:pPr>
      <w:r w:rsidRPr="00AB0BBF">
        <w:rPr>
          <w:lang w:val="en-US"/>
        </w:rPr>
        <w:t xml:space="preserve">The building can adapt to changing conditions and to maintain or regain functionality and vitality in the face of stress or disturbance. Its resilience features include a back-up generator, infiltrate rainwater on-site, permeable landscaping, and low flood risk. </w:t>
      </w:r>
    </w:p>
    <w:p w:rsidR="001839F0" w:rsidRPr="00AB0BBF" w:rsidRDefault="00AF1983">
      <w:pPr>
        <w:rPr>
          <w:lang w:val="en-US"/>
        </w:rPr>
      </w:pPr>
      <w:r>
        <w:rPr>
          <w:lang w:val="en-US"/>
        </w:rPr>
        <w:t xml:space="preserve">Mount Dennis </w:t>
      </w:r>
      <w:r w:rsidR="001839F0" w:rsidRPr="00AB0BBF">
        <w:rPr>
          <w:lang w:val="en-US"/>
        </w:rPr>
        <w:t xml:space="preserve">2026 </w:t>
      </w:r>
      <w:r w:rsidR="00AB0BBF" w:rsidRPr="00AB0BBF">
        <w:rPr>
          <w:lang w:val="en-US"/>
        </w:rPr>
        <w:t>zero-</w:t>
      </w:r>
      <w:r w:rsidR="001839F0" w:rsidRPr="00AB0BBF">
        <w:rPr>
          <w:lang w:val="en-US"/>
        </w:rPr>
        <w:t xml:space="preserve">emissions building </w:t>
      </w:r>
      <w:r>
        <w:rPr>
          <w:lang w:val="en-US"/>
        </w:rPr>
        <w:t>overview:</w:t>
      </w:r>
    </w:p>
    <w:p w:rsidR="001839F0" w:rsidRPr="00AF1983" w:rsidRDefault="001839F0" w:rsidP="000C7C70">
      <w:pPr>
        <w:pStyle w:val="ListParagraph"/>
        <w:numPr>
          <w:ilvl w:val="0"/>
          <w:numId w:val="20"/>
        </w:numPr>
        <w:rPr>
          <w:lang w:val="en-US"/>
        </w:rPr>
      </w:pPr>
      <w:r w:rsidRPr="00AF1983">
        <w:rPr>
          <w:lang w:val="en-US"/>
        </w:rPr>
        <w:t xml:space="preserve">100% electric </w:t>
      </w:r>
    </w:p>
    <w:p w:rsidR="001839F0" w:rsidRPr="00AF1983" w:rsidRDefault="001839F0" w:rsidP="000C7C70">
      <w:pPr>
        <w:pStyle w:val="ListParagraph"/>
        <w:numPr>
          <w:ilvl w:val="0"/>
          <w:numId w:val="20"/>
        </w:numPr>
        <w:rPr>
          <w:lang w:val="en-US"/>
        </w:rPr>
      </w:pPr>
      <w:r w:rsidRPr="00AF1983">
        <w:rPr>
          <w:lang w:val="en-US"/>
        </w:rPr>
        <w:t xml:space="preserve">Low embedded carbon building </w:t>
      </w:r>
    </w:p>
    <w:p w:rsidR="001839F0" w:rsidRPr="00AF1983" w:rsidRDefault="00AB0BBF" w:rsidP="000C7C70">
      <w:pPr>
        <w:pStyle w:val="ListParagraph"/>
        <w:numPr>
          <w:ilvl w:val="0"/>
          <w:numId w:val="20"/>
        </w:numPr>
        <w:rPr>
          <w:lang w:val="en-US"/>
        </w:rPr>
      </w:pPr>
      <w:r w:rsidRPr="00AF1983">
        <w:rPr>
          <w:lang w:val="en-US"/>
        </w:rPr>
        <w:t>On-</w:t>
      </w:r>
      <w:r w:rsidR="00412F6F" w:rsidRPr="00AF1983">
        <w:rPr>
          <w:lang w:val="en-US"/>
        </w:rPr>
        <w:t xml:space="preserve">site renewables </w:t>
      </w:r>
    </w:p>
    <w:p w:rsidR="00412F6F" w:rsidRPr="00AF1983" w:rsidRDefault="00412F6F" w:rsidP="000C7C70">
      <w:pPr>
        <w:pStyle w:val="ListParagraph"/>
        <w:numPr>
          <w:ilvl w:val="0"/>
          <w:numId w:val="20"/>
        </w:numPr>
        <w:rPr>
          <w:lang w:val="en-US"/>
        </w:rPr>
      </w:pPr>
      <w:r w:rsidRPr="00AF1983">
        <w:rPr>
          <w:lang w:val="en-US"/>
        </w:rPr>
        <w:t xml:space="preserve">Incorporate Passive </w:t>
      </w:r>
      <w:r w:rsidR="00052F85" w:rsidRPr="00AF1983">
        <w:rPr>
          <w:lang w:val="en-US"/>
        </w:rPr>
        <w:t>H</w:t>
      </w:r>
      <w:r w:rsidRPr="00AF1983">
        <w:rPr>
          <w:lang w:val="en-US"/>
        </w:rPr>
        <w:t>ouse</w:t>
      </w:r>
      <w:r w:rsidR="00052F85" w:rsidRPr="00AF1983">
        <w:rPr>
          <w:lang w:val="en-US"/>
        </w:rPr>
        <w:t xml:space="preserve">/Air Tightness/Vapor Barrier/Insulation </w:t>
      </w:r>
    </w:p>
    <w:p w:rsidR="00412F6F" w:rsidRPr="00AF1983" w:rsidRDefault="00412F6F" w:rsidP="000C7C70">
      <w:pPr>
        <w:pStyle w:val="ListParagraph"/>
        <w:numPr>
          <w:ilvl w:val="0"/>
          <w:numId w:val="20"/>
        </w:numPr>
        <w:rPr>
          <w:lang w:val="en-US"/>
        </w:rPr>
      </w:pPr>
      <w:r w:rsidRPr="00AF1983">
        <w:rPr>
          <w:lang w:val="en-US"/>
        </w:rPr>
        <w:t xml:space="preserve">Added resilience (to avoid ice storm effects) + emergency back power </w:t>
      </w:r>
    </w:p>
    <w:p w:rsidR="00412F6F" w:rsidRDefault="00412F6F" w:rsidP="000C7C70">
      <w:pPr>
        <w:pStyle w:val="ListParagraph"/>
        <w:numPr>
          <w:ilvl w:val="0"/>
          <w:numId w:val="20"/>
        </w:numPr>
        <w:rPr>
          <w:lang w:val="en-US"/>
        </w:rPr>
      </w:pPr>
      <w:r w:rsidRPr="00AF1983">
        <w:rPr>
          <w:lang w:val="en-US"/>
        </w:rPr>
        <w:t xml:space="preserve">Shading </w:t>
      </w:r>
    </w:p>
    <w:p w:rsidR="00BE5577" w:rsidRPr="00BE5577" w:rsidRDefault="00BE5577" w:rsidP="000C7C70">
      <w:pPr>
        <w:rPr>
          <w:lang w:val="en-US"/>
        </w:rPr>
      </w:pPr>
    </w:p>
    <w:p w:rsidR="00AB0BBF" w:rsidRDefault="00A02A25" w:rsidP="00412F6F">
      <w:pPr>
        <w:rPr>
          <w:lang w:val="en-US"/>
        </w:rPr>
      </w:pPr>
      <w:r>
        <w:rPr>
          <w:lang w:val="en-US"/>
        </w:rPr>
        <w:t xml:space="preserve">Q: How was </w:t>
      </w:r>
      <w:r w:rsidR="001D4D23">
        <w:rPr>
          <w:lang w:val="en-US"/>
        </w:rPr>
        <w:t xml:space="preserve">it </w:t>
      </w:r>
      <w:r>
        <w:rPr>
          <w:lang w:val="en-US"/>
        </w:rPr>
        <w:t>funded?</w:t>
      </w:r>
    </w:p>
    <w:p w:rsidR="00A02A25" w:rsidRDefault="00AB0BBF" w:rsidP="00412F6F">
      <w:pPr>
        <w:rPr>
          <w:lang w:val="en-US"/>
        </w:rPr>
      </w:pPr>
      <w:r>
        <w:rPr>
          <w:lang w:val="en-US"/>
        </w:rPr>
        <w:t xml:space="preserve">A: </w:t>
      </w:r>
      <w:r w:rsidR="00A02A25">
        <w:rPr>
          <w:lang w:val="en-US"/>
        </w:rPr>
        <w:t xml:space="preserve"> </w:t>
      </w:r>
      <w:r w:rsidR="001D4D23">
        <w:rPr>
          <w:lang w:val="en-US"/>
        </w:rPr>
        <w:t xml:space="preserve">It was funded using a lifecycle cost approach to bring together the capital and operating costs. The City did receive some funds from </w:t>
      </w:r>
      <w:proofErr w:type="spellStart"/>
      <w:r w:rsidR="001D4D23">
        <w:rPr>
          <w:lang w:val="en-US"/>
        </w:rPr>
        <w:t>Metrolinx</w:t>
      </w:r>
      <w:proofErr w:type="spellEnd"/>
      <w:r w:rsidR="001D4D23">
        <w:rPr>
          <w:lang w:val="en-US"/>
        </w:rPr>
        <w:t xml:space="preserve"> (as a result of the old daycare being moved to accommodate the Eglington Cross Town). </w:t>
      </w:r>
    </w:p>
    <w:p w:rsidR="007975F9" w:rsidRDefault="007975F9" w:rsidP="00412F6F">
      <w:pPr>
        <w:rPr>
          <w:lang w:val="en-US"/>
        </w:rPr>
      </w:pPr>
    </w:p>
    <w:p w:rsidR="00D12B13" w:rsidRDefault="00D12B13" w:rsidP="00D12B13">
      <w:pPr>
        <w:rPr>
          <w:lang w:val="en-US"/>
        </w:rPr>
      </w:pPr>
    </w:p>
    <w:p w:rsidR="00AB0BBF" w:rsidRPr="000C7C70" w:rsidRDefault="00AB0BBF" w:rsidP="00286E66">
      <w:pPr>
        <w:pStyle w:val="ListParagraph"/>
        <w:numPr>
          <w:ilvl w:val="0"/>
          <w:numId w:val="2"/>
        </w:numPr>
        <w:rPr>
          <w:lang w:val="en-US"/>
        </w:rPr>
      </w:pPr>
      <w:r w:rsidRPr="00AB0BBF">
        <w:rPr>
          <w:b/>
          <w:lang w:val="en-US"/>
        </w:rPr>
        <w:t>Kathryn Wilson and Ian Jarvis, Mayors’ Megawatt Challenge – A Program of Climate Challenge Network: Practical Pathways to Net-Zero Municipal Buildings.</w:t>
      </w:r>
    </w:p>
    <w:p w:rsidR="00AF1983" w:rsidRDefault="00AF1983" w:rsidP="000C7C70">
      <w:pPr>
        <w:rPr>
          <w:lang w:val="en-US"/>
        </w:rPr>
      </w:pPr>
      <w:r w:rsidRPr="000C7C70">
        <w:rPr>
          <w:lang w:val="en-US"/>
        </w:rPr>
        <w:t>Mayors’ Megawatt Challenge</w:t>
      </w:r>
      <w:r>
        <w:rPr>
          <w:lang w:val="en-US"/>
        </w:rPr>
        <w:t xml:space="preserve"> was launched in 2003 in </w:t>
      </w:r>
      <w:r w:rsidRPr="00AF1983">
        <w:rPr>
          <w:lang w:val="en-US"/>
        </w:rPr>
        <w:t>the City of Mississauga</w:t>
      </w:r>
      <w:r>
        <w:rPr>
          <w:lang w:val="en-US"/>
        </w:rPr>
        <w:t>. The 2019 Climate Challenge Program goal is r</w:t>
      </w:r>
      <w:r w:rsidRPr="00AF1983">
        <w:rPr>
          <w:lang w:val="en-US"/>
        </w:rPr>
        <w:t>apid scaling up of reductions in emissions caused by buildings</w:t>
      </w:r>
      <w:r>
        <w:rPr>
          <w:lang w:val="en-US"/>
        </w:rPr>
        <w:t xml:space="preserve">. The four pillars are energy management, knowledge, peer networking, and recognition of leaders. </w:t>
      </w:r>
    </w:p>
    <w:p w:rsidR="00AF1983" w:rsidRDefault="00AF1983" w:rsidP="000C7C70">
      <w:pPr>
        <w:rPr>
          <w:lang w:val="en-US"/>
        </w:rPr>
      </w:pPr>
      <w:r>
        <w:rPr>
          <w:lang w:val="en-US"/>
        </w:rPr>
        <w:t xml:space="preserve">The proposed steps of this challenge are: </w:t>
      </w:r>
    </w:p>
    <w:p w:rsidR="00AF1983" w:rsidRPr="00AF1983" w:rsidRDefault="00AF1983" w:rsidP="000C7C70">
      <w:pPr>
        <w:pStyle w:val="ListParagraph"/>
        <w:numPr>
          <w:ilvl w:val="0"/>
          <w:numId w:val="19"/>
        </w:numPr>
        <w:rPr>
          <w:lang w:val="en-US"/>
        </w:rPr>
      </w:pPr>
      <w:r w:rsidRPr="00AF1983">
        <w:rPr>
          <w:lang w:val="en-US"/>
        </w:rPr>
        <w:t>Step 1 - Demand Reduction (Energy Efficiency)</w:t>
      </w:r>
    </w:p>
    <w:p w:rsidR="00AF1983" w:rsidRPr="00AF1983" w:rsidRDefault="00AF1983" w:rsidP="000C7C70">
      <w:pPr>
        <w:pStyle w:val="ListParagraph"/>
        <w:numPr>
          <w:ilvl w:val="0"/>
          <w:numId w:val="19"/>
        </w:numPr>
        <w:rPr>
          <w:lang w:val="en-US"/>
        </w:rPr>
      </w:pPr>
      <w:r w:rsidRPr="00AF1983">
        <w:rPr>
          <w:lang w:val="en-US"/>
        </w:rPr>
        <w:t>Step 2 – Advanced Heat Recovery</w:t>
      </w:r>
    </w:p>
    <w:p w:rsidR="00AF1983" w:rsidRPr="00AF1983" w:rsidRDefault="00AF1983" w:rsidP="000C7C70">
      <w:pPr>
        <w:pStyle w:val="ListParagraph"/>
        <w:numPr>
          <w:ilvl w:val="0"/>
          <w:numId w:val="19"/>
        </w:numPr>
        <w:rPr>
          <w:lang w:val="en-US"/>
        </w:rPr>
      </w:pPr>
      <w:r w:rsidRPr="00AF1983">
        <w:rPr>
          <w:lang w:val="en-US"/>
        </w:rPr>
        <w:t>Step 3 – Renewables</w:t>
      </w:r>
    </w:p>
    <w:p w:rsidR="00AF1983" w:rsidRPr="00AF1983" w:rsidRDefault="00AF1983" w:rsidP="000C7C70">
      <w:pPr>
        <w:pStyle w:val="ListParagraph"/>
        <w:numPr>
          <w:ilvl w:val="0"/>
          <w:numId w:val="19"/>
        </w:numPr>
        <w:rPr>
          <w:lang w:val="en-US"/>
        </w:rPr>
      </w:pPr>
      <w:r w:rsidRPr="00AF1983">
        <w:rPr>
          <w:lang w:val="en-US"/>
        </w:rPr>
        <w:t>Step 4 – Align with Asset Management</w:t>
      </w:r>
    </w:p>
    <w:p w:rsidR="00AF1983" w:rsidRDefault="00AF1983" w:rsidP="000C7C70">
      <w:pPr>
        <w:rPr>
          <w:lang w:val="en-US"/>
        </w:rPr>
      </w:pPr>
    </w:p>
    <w:p w:rsidR="00AF1983" w:rsidRPr="000C7C70" w:rsidRDefault="00AF1983" w:rsidP="000C7C70">
      <w:pPr>
        <w:rPr>
          <w:b/>
          <w:sz w:val="24"/>
          <w:lang w:val="en-US"/>
        </w:rPr>
      </w:pPr>
    </w:p>
    <w:p w:rsidR="00AF1983" w:rsidRPr="000C7C70" w:rsidRDefault="00515E18">
      <w:pPr>
        <w:pStyle w:val="ListParagraph"/>
        <w:numPr>
          <w:ilvl w:val="0"/>
          <w:numId w:val="2"/>
        </w:numPr>
        <w:rPr>
          <w:b/>
          <w:sz w:val="24"/>
          <w:lang w:val="en-US"/>
        </w:rPr>
      </w:pPr>
      <w:r w:rsidRPr="000C7C70">
        <w:rPr>
          <w:b/>
          <w:sz w:val="24"/>
          <w:lang w:val="en-US"/>
        </w:rPr>
        <w:t xml:space="preserve">Corporate GDS </w:t>
      </w:r>
      <w:r w:rsidR="00A5221B" w:rsidRPr="000C7C70">
        <w:rPr>
          <w:b/>
          <w:sz w:val="24"/>
          <w:lang w:val="en-US"/>
        </w:rPr>
        <w:t xml:space="preserve">Discussion </w:t>
      </w:r>
    </w:p>
    <w:p w:rsidR="00A04498" w:rsidRDefault="0021148F" w:rsidP="000C7C70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Many municipalities have a Corporate Green Development Standard (CGDS) in place. Most often that CGDS is LEED Silver. Those standards have not been updated in quite some time</w:t>
      </w:r>
      <w:r w:rsidR="00AF1983">
        <w:rPr>
          <w:lang w:val="en-US"/>
        </w:rPr>
        <w:t>,</w:t>
      </w:r>
      <w:r>
        <w:rPr>
          <w:lang w:val="en-US"/>
        </w:rPr>
        <w:t xml:space="preserve"> and many municipalities are in the process of updating their Corporate Green Development Standard. </w:t>
      </w:r>
    </w:p>
    <w:p w:rsidR="00A04498" w:rsidRDefault="00A04498" w:rsidP="000C7C70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The direction that most municipalities are planning for their update is to head as close to </w:t>
      </w:r>
      <w:r w:rsidR="00AF1983">
        <w:rPr>
          <w:lang w:val="en-US"/>
        </w:rPr>
        <w:t>net-</w:t>
      </w:r>
      <w:r>
        <w:rPr>
          <w:lang w:val="en-US"/>
        </w:rPr>
        <w:t xml:space="preserve">zero emissions as possible. </w:t>
      </w:r>
      <w:r w:rsidR="00AF1983">
        <w:rPr>
          <w:lang w:val="en-US"/>
        </w:rPr>
        <w:t>T</w:t>
      </w:r>
      <w:r>
        <w:rPr>
          <w:lang w:val="en-US"/>
        </w:rPr>
        <w:t xml:space="preserve">he intention is to head as close to </w:t>
      </w:r>
      <w:r w:rsidR="00AF1983">
        <w:rPr>
          <w:lang w:val="en-US"/>
        </w:rPr>
        <w:t>net-</w:t>
      </w:r>
      <w:r>
        <w:rPr>
          <w:lang w:val="en-US"/>
        </w:rPr>
        <w:t xml:space="preserve">zero emissions as possible and base the business case on a lifecycle cost analysis. </w:t>
      </w:r>
    </w:p>
    <w:p w:rsidR="00A04498" w:rsidRDefault="00A04498" w:rsidP="000C7C70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The challenge is that the procurement process needs to be able to accommodate the </w:t>
      </w:r>
      <w:r w:rsidR="00AF1983">
        <w:rPr>
          <w:lang w:val="en-US"/>
        </w:rPr>
        <w:t>net-</w:t>
      </w:r>
      <w:r>
        <w:rPr>
          <w:lang w:val="en-US"/>
        </w:rPr>
        <w:t>zero emission goal</w:t>
      </w:r>
      <w:r w:rsidR="00AF1983">
        <w:rPr>
          <w:lang w:val="en-US"/>
        </w:rPr>
        <w:t>. P</w:t>
      </w:r>
      <w:r>
        <w:rPr>
          <w:lang w:val="en-US"/>
        </w:rPr>
        <w:t>ayback policies need to be updated to look at lifecycle costing rather than shorter paybacks</w:t>
      </w:r>
      <w:r w:rsidR="00AF1983">
        <w:rPr>
          <w:lang w:val="en-US"/>
        </w:rPr>
        <w:t>. S</w:t>
      </w:r>
      <w:r>
        <w:rPr>
          <w:lang w:val="en-US"/>
        </w:rPr>
        <w:t>ome municipalities indicated that their payback policy is between 5 – 10 years which is undermining the deeper retrofits that need to occur for their facilities</w:t>
      </w:r>
      <w:r w:rsidR="00AF1983">
        <w:rPr>
          <w:lang w:val="en-US"/>
        </w:rPr>
        <w:t xml:space="preserve">. </w:t>
      </w:r>
    </w:p>
    <w:p w:rsidR="00A04498" w:rsidRDefault="00A04498" w:rsidP="000C7C70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Some municipalities are exploring options to bring in the Social Costs of Carbon (rather than just the carbon price of 20$ a </w:t>
      </w:r>
      <w:proofErr w:type="spellStart"/>
      <w:r>
        <w:rPr>
          <w:lang w:val="en-US"/>
        </w:rPr>
        <w:t>tonne</w:t>
      </w:r>
      <w:proofErr w:type="spellEnd"/>
      <w:r>
        <w:rPr>
          <w:lang w:val="en-US"/>
        </w:rPr>
        <w:t xml:space="preserve">) into their business case. Ex. Burlington </w:t>
      </w:r>
    </w:p>
    <w:p w:rsidR="00AF1983" w:rsidRDefault="00AF1983" w:rsidP="000C7C70">
      <w:pPr>
        <w:rPr>
          <w:lang w:val="en-US"/>
        </w:rPr>
      </w:pPr>
    </w:p>
    <w:p w:rsidR="00AF1983" w:rsidRPr="000C7C70" w:rsidRDefault="00AF1983" w:rsidP="000C7C70">
      <w:pPr>
        <w:rPr>
          <w:b/>
          <w:sz w:val="24"/>
          <w:lang w:val="en-US"/>
        </w:rPr>
      </w:pPr>
    </w:p>
    <w:p w:rsidR="00B179AC" w:rsidRPr="000C7C70" w:rsidRDefault="00E22E88" w:rsidP="000C7C70">
      <w:pPr>
        <w:pStyle w:val="ListParagraph"/>
        <w:numPr>
          <w:ilvl w:val="0"/>
          <w:numId w:val="2"/>
        </w:numPr>
        <w:rPr>
          <w:b/>
          <w:sz w:val="24"/>
          <w:lang w:val="en-US"/>
        </w:rPr>
      </w:pPr>
      <w:r w:rsidRPr="000C7C70">
        <w:rPr>
          <w:b/>
          <w:sz w:val="24"/>
          <w:lang w:val="en-US"/>
        </w:rPr>
        <w:t xml:space="preserve">Next Steps and </w:t>
      </w:r>
      <w:proofErr w:type="gramStart"/>
      <w:r w:rsidRPr="000C7C70">
        <w:rPr>
          <w:b/>
          <w:sz w:val="24"/>
          <w:lang w:val="en-US"/>
        </w:rPr>
        <w:t>To</w:t>
      </w:r>
      <w:proofErr w:type="gramEnd"/>
      <w:r w:rsidRPr="000C7C70">
        <w:rPr>
          <w:b/>
          <w:sz w:val="24"/>
          <w:lang w:val="en-US"/>
        </w:rPr>
        <w:t xml:space="preserve"> Dos from Municipal Energy Managers COP </w:t>
      </w:r>
      <w:r w:rsidR="003B1694" w:rsidRPr="000C7C70">
        <w:rPr>
          <w:b/>
          <w:sz w:val="24"/>
          <w:lang w:val="en-US"/>
        </w:rPr>
        <w:t xml:space="preserve">Workshop </w:t>
      </w:r>
    </w:p>
    <w:p w:rsidR="00E22E88" w:rsidRDefault="003B1694" w:rsidP="00380BF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Corporate Green Development Standard webinars/working group to work collaboratively on advancing the standard. </w:t>
      </w:r>
      <w:r w:rsidR="00E22E88">
        <w:rPr>
          <w:lang w:val="en-US"/>
        </w:rPr>
        <w:t xml:space="preserve">Integrating energy management and asset management. Ex. Caledon has a policy requirement </w:t>
      </w:r>
      <w:r>
        <w:rPr>
          <w:lang w:val="en-US"/>
        </w:rPr>
        <w:t xml:space="preserve">where the Energy Team </w:t>
      </w:r>
      <w:r w:rsidR="00E22E88">
        <w:rPr>
          <w:lang w:val="en-US"/>
        </w:rPr>
        <w:t xml:space="preserve">needs to be </w:t>
      </w:r>
      <w:r>
        <w:rPr>
          <w:lang w:val="en-US"/>
        </w:rPr>
        <w:t xml:space="preserve">consulted </w:t>
      </w:r>
      <w:r w:rsidR="00E22E88">
        <w:rPr>
          <w:lang w:val="en-US"/>
        </w:rPr>
        <w:t>when assets are being renewed/updated. In Simcoe County</w:t>
      </w:r>
      <w:r w:rsidR="00AF1983">
        <w:rPr>
          <w:lang w:val="en-US"/>
        </w:rPr>
        <w:t>,</w:t>
      </w:r>
      <w:r w:rsidR="00E22E88">
        <w:rPr>
          <w:lang w:val="en-US"/>
        </w:rPr>
        <w:t xml:space="preserve"> all capital projects have to be reviewed by Energy Team. </w:t>
      </w:r>
    </w:p>
    <w:p w:rsidR="00E22E88" w:rsidRDefault="00E22E88" w:rsidP="00380BF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Learning more about Building Automation Systems (Brampton has some good experience on this). </w:t>
      </w:r>
    </w:p>
    <w:p w:rsidR="00E22E88" w:rsidRDefault="00E22E88" w:rsidP="00380BF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Benchmarking facilities across jurisdictions to better inform energy performance based on actual performance rather than just energy efficiency measures estimates. Which are the best performing buildings</w:t>
      </w:r>
      <w:r w:rsidR="00AF1983">
        <w:rPr>
          <w:lang w:val="en-US"/>
        </w:rPr>
        <w:t>,</w:t>
      </w:r>
      <w:r>
        <w:rPr>
          <w:lang w:val="en-US"/>
        </w:rPr>
        <w:t xml:space="preserve"> and what are they doing right. Which are the poorest performers so that they can be prioritized for improvements. </w:t>
      </w:r>
    </w:p>
    <w:p w:rsidR="00E22E88" w:rsidRDefault="00E22E88" w:rsidP="00380BF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More examples and learnings from other </w:t>
      </w:r>
      <w:r w:rsidR="00AF1983">
        <w:rPr>
          <w:lang w:val="en-US"/>
        </w:rPr>
        <w:t>net-</w:t>
      </w:r>
      <w:r>
        <w:rPr>
          <w:lang w:val="en-US"/>
        </w:rPr>
        <w:t xml:space="preserve">zero emission buildings (particularly municipal buildings). </w:t>
      </w:r>
      <w:r w:rsidR="003B1694">
        <w:rPr>
          <w:lang w:val="en-US"/>
        </w:rPr>
        <w:t xml:space="preserve">Net Zero emissions building training/toolkit/examples/issues </w:t>
      </w:r>
    </w:p>
    <w:p w:rsidR="00E22E88" w:rsidRDefault="00E22E88" w:rsidP="00380BF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Interdepartmental engagement strategies and municipal recognition efforts to engage municipal staff and increase awareness. </w:t>
      </w:r>
    </w:p>
    <w:p w:rsidR="003B1694" w:rsidRDefault="003B1694" w:rsidP="00380BF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How to use thermal comfort issues to drive energy efficiency</w:t>
      </w:r>
      <w:r w:rsidR="00AF1983">
        <w:rPr>
          <w:lang w:val="en-US"/>
        </w:rPr>
        <w:t>?</w:t>
      </w:r>
    </w:p>
    <w:p w:rsidR="003B1694" w:rsidRDefault="003B1694" w:rsidP="00380BF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Building into the business case how much it will cost to retrofit building in 10 – 15 years. </w:t>
      </w:r>
    </w:p>
    <w:p w:rsidR="0076545C" w:rsidRDefault="0076545C" w:rsidP="00380BF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Low carbon technologies of interest include: geothermal, heat pumps, solar walls, building envelope upgrades, prefab building envelope upgrades, sharing of energy efficiency measures across </w:t>
      </w:r>
      <w:r w:rsidR="00AF1983">
        <w:rPr>
          <w:lang w:val="en-US"/>
        </w:rPr>
        <w:t xml:space="preserve">the </w:t>
      </w:r>
      <w:r>
        <w:rPr>
          <w:lang w:val="en-US"/>
        </w:rPr>
        <w:t xml:space="preserve">network, operational efficiency efforts and their results, challenges and maintenance. </w:t>
      </w:r>
    </w:p>
    <w:p w:rsidR="0076545C" w:rsidRPr="00380BF5" w:rsidRDefault="0076545C" w:rsidP="00380BF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Comparison across the network on energy efficiency efforts such as what is undertaken in the US through their </w:t>
      </w:r>
      <w:hyperlink r:id="rId8" w:history="1">
        <w:r w:rsidRPr="00C61876">
          <w:rPr>
            <w:rStyle w:val="Hyperlink"/>
            <w:b/>
            <w:i/>
            <w:iCs/>
            <w:sz w:val="24"/>
          </w:rPr>
          <w:t>2019 State Energy Efficiency Scorecard</w:t>
        </w:r>
      </w:hyperlink>
      <w:r>
        <w:rPr>
          <w:b/>
          <w:sz w:val="24"/>
        </w:rPr>
        <w:t xml:space="preserve"> (</w:t>
      </w:r>
      <w:hyperlink r:id="rId9" w:history="1">
        <w:r w:rsidRPr="00AF1983">
          <w:rPr>
            <w:rStyle w:val="Hyperlink"/>
            <w:b/>
            <w:sz w:val="24"/>
          </w:rPr>
          <w:t>link</w:t>
        </w:r>
      </w:hyperlink>
      <w:r>
        <w:rPr>
          <w:b/>
          <w:sz w:val="24"/>
        </w:rPr>
        <w:t xml:space="preserve">) and what has been done by </w:t>
      </w:r>
      <w:hyperlink r:id="rId10" w:history="1">
        <w:r w:rsidRPr="00AF1983">
          <w:rPr>
            <w:rStyle w:val="Hyperlink"/>
            <w:b/>
            <w:sz w:val="24"/>
          </w:rPr>
          <w:t>Efficiency Canada</w:t>
        </w:r>
      </w:hyperlink>
      <w:r>
        <w:rPr>
          <w:b/>
          <w:sz w:val="24"/>
        </w:rPr>
        <w:t xml:space="preserve"> at the provincial level </w:t>
      </w:r>
      <w:r w:rsidR="00AF1983">
        <w:rPr>
          <w:b/>
          <w:sz w:val="24"/>
        </w:rPr>
        <w:t>(</w:t>
      </w:r>
      <w:hyperlink r:id="rId11" w:history="1">
        <w:r w:rsidRPr="00AF1983">
          <w:rPr>
            <w:rStyle w:val="Hyperlink"/>
            <w:b/>
            <w:sz w:val="24"/>
          </w:rPr>
          <w:t>link</w:t>
        </w:r>
      </w:hyperlink>
      <w:r>
        <w:rPr>
          <w:b/>
          <w:sz w:val="24"/>
        </w:rPr>
        <w:t xml:space="preserve">) </w:t>
      </w:r>
    </w:p>
    <w:p w:rsidR="003B1694" w:rsidRPr="003B1694" w:rsidRDefault="003B1694" w:rsidP="00380BF5">
      <w:pPr>
        <w:ind w:left="360"/>
        <w:rPr>
          <w:lang w:val="en-US"/>
        </w:rPr>
      </w:pPr>
    </w:p>
    <w:p w:rsidR="00800A32" w:rsidRPr="001C7675" w:rsidRDefault="000367DA" w:rsidP="00A30B90">
      <w:pPr>
        <w:pStyle w:val="ListParagraph"/>
        <w:numPr>
          <w:ilvl w:val="0"/>
          <w:numId w:val="1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</w:t>
      </w:r>
    </w:p>
    <w:sectPr w:rsidR="00800A32" w:rsidRPr="001C7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880"/>
    <w:multiLevelType w:val="hybridMultilevel"/>
    <w:tmpl w:val="759C3E4A"/>
    <w:lvl w:ilvl="0" w:tplc="75107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2BB2"/>
    <w:multiLevelType w:val="hybridMultilevel"/>
    <w:tmpl w:val="048E13DA"/>
    <w:lvl w:ilvl="0" w:tplc="75107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5213"/>
    <w:multiLevelType w:val="hybridMultilevel"/>
    <w:tmpl w:val="E4DC73D2"/>
    <w:lvl w:ilvl="0" w:tplc="75107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51079C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FC2"/>
    <w:multiLevelType w:val="hybridMultilevel"/>
    <w:tmpl w:val="6FF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A4C40"/>
    <w:multiLevelType w:val="hybridMultilevel"/>
    <w:tmpl w:val="C700F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82078"/>
    <w:multiLevelType w:val="hybridMultilevel"/>
    <w:tmpl w:val="A5E24452"/>
    <w:lvl w:ilvl="0" w:tplc="75107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31A8B"/>
    <w:multiLevelType w:val="hybridMultilevel"/>
    <w:tmpl w:val="DCF65C9C"/>
    <w:lvl w:ilvl="0" w:tplc="75107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40427"/>
    <w:multiLevelType w:val="hybridMultilevel"/>
    <w:tmpl w:val="7A9C2B6E"/>
    <w:lvl w:ilvl="0" w:tplc="75107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23CE3"/>
    <w:multiLevelType w:val="hybridMultilevel"/>
    <w:tmpl w:val="0ED083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0B3203"/>
    <w:multiLevelType w:val="hybridMultilevel"/>
    <w:tmpl w:val="9D5A2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9B9"/>
    <w:multiLevelType w:val="hybridMultilevel"/>
    <w:tmpl w:val="CD7A4584"/>
    <w:lvl w:ilvl="0" w:tplc="75107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722AC"/>
    <w:multiLevelType w:val="hybridMultilevel"/>
    <w:tmpl w:val="9EE2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80893"/>
    <w:multiLevelType w:val="hybridMultilevel"/>
    <w:tmpl w:val="1EB08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079B3"/>
    <w:multiLevelType w:val="hybridMultilevel"/>
    <w:tmpl w:val="4D1E0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37913"/>
    <w:multiLevelType w:val="hybridMultilevel"/>
    <w:tmpl w:val="8E4C6830"/>
    <w:lvl w:ilvl="0" w:tplc="75107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909F8"/>
    <w:multiLevelType w:val="hybridMultilevel"/>
    <w:tmpl w:val="476EB6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A5390A"/>
    <w:multiLevelType w:val="hybridMultilevel"/>
    <w:tmpl w:val="E048C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34CE7"/>
    <w:multiLevelType w:val="hybridMultilevel"/>
    <w:tmpl w:val="10028674"/>
    <w:lvl w:ilvl="0" w:tplc="75107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C1E5F"/>
    <w:multiLevelType w:val="hybridMultilevel"/>
    <w:tmpl w:val="A7BE9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36721"/>
    <w:multiLevelType w:val="hybridMultilevel"/>
    <w:tmpl w:val="62606DE8"/>
    <w:lvl w:ilvl="0" w:tplc="FBB011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82A37"/>
    <w:multiLevelType w:val="hybridMultilevel"/>
    <w:tmpl w:val="6BC00168"/>
    <w:lvl w:ilvl="0" w:tplc="75107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2"/>
  </w:num>
  <w:num w:numId="5">
    <w:abstractNumId w:val="0"/>
  </w:num>
  <w:num w:numId="6">
    <w:abstractNumId w:val="14"/>
  </w:num>
  <w:num w:numId="7">
    <w:abstractNumId w:val="20"/>
  </w:num>
  <w:num w:numId="8">
    <w:abstractNumId w:val="1"/>
  </w:num>
  <w:num w:numId="9">
    <w:abstractNumId w:val="17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3"/>
  </w:num>
  <w:num w:numId="15">
    <w:abstractNumId w:val="18"/>
  </w:num>
  <w:num w:numId="16">
    <w:abstractNumId w:val="4"/>
  </w:num>
  <w:num w:numId="17">
    <w:abstractNumId w:val="12"/>
  </w:num>
  <w:num w:numId="18">
    <w:abstractNumId w:val="15"/>
  </w:num>
  <w:num w:numId="19">
    <w:abstractNumId w:val="1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zQyMDawMDKxMDZR0lEKTi0uzszPAykwqQUA77br3ywAAAA="/>
  </w:docVars>
  <w:rsids>
    <w:rsidRoot w:val="00F109E2"/>
    <w:rsid w:val="000112EC"/>
    <w:rsid w:val="0001685B"/>
    <w:rsid w:val="000367DA"/>
    <w:rsid w:val="00052F85"/>
    <w:rsid w:val="000C7C70"/>
    <w:rsid w:val="00117279"/>
    <w:rsid w:val="00155D66"/>
    <w:rsid w:val="001839F0"/>
    <w:rsid w:val="001C7675"/>
    <w:rsid w:val="001D4D23"/>
    <w:rsid w:val="0021148F"/>
    <w:rsid w:val="002153D0"/>
    <w:rsid w:val="0022193D"/>
    <w:rsid w:val="00247E39"/>
    <w:rsid w:val="00267A5D"/>
    <w:rsid w:val="00286E66"/>
    <w:rsid w:val="002A7395"/>
    <w:rsid w:val="002B18BB"/>
    <w:rsid w:val="002D793A"/>
    <w:rsid w:val="00300F36"/>
    <w:rsid w:val="0030726A"/>
    <w:rsid w:val="003342A0"/>
    <w:rsid w:val="00343FD4"/>
    <w:rsid w:val="00365606"/>
    <w:rsid w:val="00373802"/>
    <w:rsid w:val="00380BF5"/>
    <w:rsid w:val="0039360D"/>
    <w:rsid w:val="003A6DBA"/>
    <w:rsid w:val="003B1694"/>
    <w:rsid w:val="003D1B56"/>
    <w:rsid w:val="003D1E64"/>
    <w:rsid w:val="003F4F56"/>
    <w:rsid w:val="004053A7"/>
    <w:rsid w:val="00407D1D"/>
    <w:rsid w:val="00410917"/>
    <w:rsid w:val="004110C3"/>
    <w:rsid w:val="00412F6F"/>
    <w:rsid w:val="00425712"/>
    <w:rsid w:val="00425FC0"/>
    <w:rsid w:val="00482CFB"/>
    <w:rsid w:val="00491907"/>
    <w:rsid w:val="004C1410"/>
    <w:rsid w:val="004C6971"/>
    <w:rsid w:val="004F5AE8"/>
    <w:rsid w:val="00501419"/>
    <w:rsid w:val="00515E18"/>
    <w:rsid w:val="005647A5"/>
    <w:rsid w:val="00606AA8"/>
    <w:rsid w:val="00640407"/>
    <w:rsid w:val="00651D33"/>
    <w:rsid w:val="006D4882"/>
    <w:rsid w:val="006F60B1"/>
    <w:rsid w:val="0076545C"/>
    <w:rsid w:val="007740B1"/>
    <w:rsid w:val="007975F9"/>
    <w:rsid w:val="007F430D"/>
    <w:rsid w:val="00800A32"/>
    <w:rsid w:val="00857CEB"/>
    <w:rsid w:val="00864902"/>
    <w:rsid w:val="008A238D"/>
    <w:rsid w:val="008C7A87"/>
    <w:rsid w:val="008F00D5"/>
    <w:rsid w:val="008F6FD9"/>
    <w:rsid w:val="009254BD"/>
    <w:rsid w:val="0092644A"/>
    <w:rsid w:val="0096390F"/>
    <w:rsid w:val="00985770"/>
    <w:rsid w:val="009C3D01"/>
    <w:rsid w:val="009D7766"/>
    <w:rsid w:val="00A02A25"/>
    <w:rsid w:val="00A04498"/>
    <w:rsid w:val="00A30B90"/>
    <w:rsid w:val="00A5221B"/>
    <w:rsid w:val="00AB0BBF"/>
    <w:rsid w:val="00AC20A0"/>
    <w:rsid w:val="00AF1983"/>
    <w:rsid w:val="00B179AC"/>
    <w:rsid w:val="00BA0A6D"/>
    <w:rsid w:val="00BA5EF2"/>
    <w:rsid w:val="00BE5577"/>
    <w:rsid w:val="00BE7225"/>
    <w:rsid w:val="00C22CC7"/>
    <w:rsid w:val="00C61876"/>
    <w:rsid w:val="00C8542B"/>
    <w:rsid w:val="00D12B13"/>
    <w:rsid w:val="00D22474"/>
    <w:rsid w:val="00D33027"/>
    <w:rsid w:val="00D44864"/>
    <w:rsid w:val="00E22E88"/>
    <w:rsid w:val="00E2611F"/>
    <w:rsid w:val="00E32456"/>
    <w:rsid w:val="00EA59D3"/>
    <w:rsid w:val="00F109E2"/>
    <w:rsid w:val="00F21898"/>
    <w:rsid w:val="00F25C12"/>
    <w:rsid w:val="00F25FE8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E4416-3DE1-422C-B6F6-1EA78DCA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8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1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ceee.org/e/310911/research-report-u1908/dy1n6x/426341247?h=slTiyrx99gO-aP5_eFz22Z0JptrISXn_LV2zXjLlU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corecard.efficiencycanada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corecard.efficiencycana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eee.org/research-report/u1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Stefanova</dc:creator>
  <cp:keywords/>
  <dc:description/>
  <cp:lastModifiedBy>Desislava Stefanova</cp:lastModifiedBy>
  <cp:revision>15</cp:revision>
  <dcterms:created xsi:type="dcterms:W3CDTF">2019-11-25T23:29:00Z</dcterms:created>
  <dcterms:modified xsi:type="dcterms:W3CDTF">2019-11-26T19:30:00Z</dcterms:modified>
</cp:coreProperties>
</file>