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8DB" w:rsidRDefault="000D38DB" w:rsidP="0092546C">
      <w:pPr>
        <w:jc w:val="center"/>
      </w:pPr>
      <w:r>
        <w:rPr>
          <w:noProof/>
          <w:lang w:eastAsia="en-CA"/>
        </w:rPr>
        <w:drawing>
          <wp:anchor distT="0" distB="0" distL="114300" distR="114300" simplePos="0" relativeHeight="251659264" behindDoc="1" locked="0" layoutInCell="1" allowOverlap="1" wp14:anchorId="03C76585" wp14:editId="138E5E09">
            <wp:simplePos x="0" y="0"/>
            <wp:positionH relativeFrom="margin">
              <wp:posOffset>2476500</wp:posOffset>
            </wp:positionH>
            <wp:positionV relativeFrom="paragraph">
              <wp:posOffset>-733425</wp:posOffset>
            </wp:positionV>
            <wp:extent cx="4101901" cy="590550"/>
            <wp:effectExtent l="0" t="0" r="0" b="0"/>
            <wp:wrapTight wrapText="bothSides">
              <wp:wrapPolygon edited="0">
                <wp:start x="0" y="0"/>
                <wp:lineTo x="0" y="20903"/>
                <wp:lineTo x="21470" y="20903"/>
                <wp:lineTo x="21470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1901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7E5D">
        <w:rPr>
          <w:noProof/>
          <w:lang w:eastAsia="en-CA"/>
        </w:rPr>
        <w:drawing>
          <wp:anchor distT="0" distB="0" distL="114300" distR="114300" simplePos="0" relativeHeight="251657216" behindDoc="1" locked="0" layoutInCell="1" allowOverlap="1" wp14:anchorId="3F05928D" wp14:editId="53D3F148">
            <wp:simplePos x="0" y="0"/>
            <wp:positionH relativeFrom="margin">
              <wp:posOffset>-676275</wp:posOffset>
            </wp:positionH>
            <wp:positionV relativeFrom="paragraph">
              <wp:posOffset>-801370</wp:posOffset>
            </wp:positionV>
            <wp:extent cx="2385050" cy="799036"/>
            <wp:effectExtent l="0" t="0" r="0" b="1270"/>
            <wp:wrapTight wrapText="bothSides">
              <wp:wrapPolygon edited="0">
                <wp:start x="0" y="0"/>
                <wp:lineTo x="0" y="21119"/>
                <wp:lineTo x="21399" y="21119"/>
                <wp:lineTo x="21399" y="0"/>
                <wp:lineTo x="0" y="0"/>
              </wp:wrapPolygon>
            </wp:wrapTight>
            <wp:docPr id="1" name="Picture 0" descr="CAC_Logo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AC_Logo_CMY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50" cy="799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38DB" w:rsidRPr="000D38DB" w:rsidRDefault="006839F7" w:rsidP="000D38DB">
      <w:pPr>
        <w:jc w:val="center"/>
        <w:rPr>
          <w:color w:val="365F91" w:themeColor="accent1" w:themeShade="BF"/>
          <w:sz w:val="36"/>
          <w:szCs w:val="36"/>
        </w:rPr>
      </w:pPr>
      <w:r w:rsidRPr="000D38DB">
        <w:rPr>
          <w:color w:val="365F91" w:themeColor="accent1" w:themeShade="BF"/>
          <w:sz w:val="36"/>
          <w:szCs w:val="36"/>
        </w:rPr>
        <w:t>C</w:t>
      </w:r>
      <w:r w:rsidR="000D38DB" w:rsidRPr="000D38DB">
        <w:rPr>
          <w:color w:val="365F91" w:themeColor="accent1" w:themeShade="BF"/>
          <w:sz w:val="36"/>
          <w:szCs w:val="36"/>
        </w:rPr>
        <w:t xml:space="preserve">lean </w:t>
      </w:r>
      <w:r w:rsidRPr="000D38DB">
        <w:rPr>
          <w:color w:val="365F91" w:themeColor="accent1" w:themeShade="BF"/>
          <w:sz w:val="36"/>
          <w:szCs w:val="36"/>
        </w:rPr>
        <w:t>A</w:t>
      </w:r>
      <w:r w:rsidR="000D38DB" w:rsidRPr="000D38DB">
        <w:rPr>
          <w:color w:val="365F91" w:themeColor="accent1" w:themeShade="BF"/>
          <w:sz w:val="36"/>
          <w:szCs w:val="36"/>
        </w:rPr>
        <w:t xml:space="preserve">ir </w:t>
      </w:r>
      <w:r w:rsidRPr="000D38DB">
        <w:rPr>
          <w:color w:val="365F91" w:themeColor="accent1" w:themeShade="BF"/>
          <w:sz w:val="36"/>
          <w:szCs w:val="36"/>
        </w:rPr>
        <w:t>C</w:t>
      </w:r>
      <w:r w:rsidR="000D38DB" w:rsidRPr="000D38DB">
        <w:rPr>
          <w:color w:val="365F91" w:themeColor="accent1" w:themeShade="BF"/>
          <w:sz w:val="36"/>
          <w:szCs w:val="36"/>
        </w:rPr>
        <w:t>ouncil M</w:t>
      </w:r>
      <w:r w:rsidRPr="000D38DB">
        <w:rPr>
          <w:color w:val="365F91" w:themeColor="accent1" w:themeShade="BF"/>
          <w:sz w:val="36"/>
          <w:szCs w:val="36"/>
        </w:rPr>
        <w:t>eeting</w:t>
      </w:r>
      <w:r w:rsidR="000D38DB" w:rsidRPr="000D38DB">
        <w:rPr>
          <w:color w:val="365F91" w:themeColor="accent1" w:themeShade="BF"/>
          <w:sz w:val="36"/>
          <w:szCs w:val="36"/>
        </w:rPr>
        <w:t>,</w:t>
      </w:r>
      <w:r w:rsidR="0092546C" w:rsidRPr="0092546C">
        <w:rPr>
          <w:color w:val="365F91" w:themeColor="accent1" w:themeShade="BF"/>
          <w:sz w:val="36"/>
          <w:szCs w:val="36"/>
        </w:rPr>
        <w:t xml:space="preserve"> </w:t>
      </w:r>
      <w:r w:rsidR="0092546C" w:rsidRPr="000D38DB">
        <w:rPr>
          <w:color w:val="365F91" w:themeColor="accent1" w:themeShade="BF"/>
          <w:sz w:val="36"/>
          <w:szCs w:val="36"/>
        </w:rPr>
        <w:t>25th January, 2019</w:t>
      </w:r>
    </w:p>
    <w:p w:rsidR="001C13A7" w:rsidRPr="000D38DB" w:rsidRDefault="000D38DB" w:rsidP="0092546C">
      <w:pPr>
        <w:jc w:val="center"/>
        <w:rPr>
          <w:color w:val="365F91" w:themeColor="accent1" w:themeShade="BF"/>
          <w:sz w:val="36"/>
          <w:szCs w:val="36"/>
        </w:rPr>
      </w:pPr>
      <w:r w:rsidRPr="000D38DB">
        <w:rPr>
          <w:color w:val="365F91" w:themeColor="accent1" w:themeShade="BF"/>
          <w:sz w:val="36"/>
          <w:szCs w:val="36"/>
        </w:rPr>
        <w:t xml:space="preserve">Marco </w:t>
      </w:r>
      <w:proofErr w:type="spellStart"/>
      <w:r w:rsidRPr="000D38DB">
        <w:rPr>
          <w:color w:val="365F91" w:themeColor="accent1" w:themeShade="BF"/>
          <w:sz w:val="36"/>
          <w:szCs w:val="36"/>
        </w:rPr>
        <w:t>Iacampo</w:t>
      </w:r>
      <w:proofErr w:type="spellEnd"/>
      <w:r w:rsidRPr="000D38DB">
        <w:rPr>
          <w:color w:val="365F91" w:themeColor="accent1" w:themeShade="BF"/>
          <w:sz w:val="36"/>
          <w:szCs w:val="36"/>
        </w:rPr>
        <w:t xml:space="preserve"> and Betsy Young, City of Toronto’s Green Bond and Carbon Financing Next Steps </w:t>
      </w:r>
    </w:p>
    <w:p w:rsidR="000D38DB" w:rsidRPr="000D38DB" w:rsidRDefault="000D38DB" w:rsidP="000D38DB">
      <w:pPr>
        <w:jc w:val="center"/>
        <w:rPr>
          <w:color w:val="365F91" w:themeColor="accent1" w:themeShade="BF"/>
          <w:sz w:val="36"/>
          <w:szCs w:val="36"/>
        </w:rPr>
      </w:pPr>
      <w:r>
        <w:rPr>
          <w:color w:val="365F91" w:themeColor="accent1" w:themeShade="BF"/>
          <w:sz w:val="36"/>
          <w:szCs w:val="36"/>
        </w:rPr>
        <w:t>Presentation</w:t>
      </w:r>
      <w:r w:rsidRPr="000D38DB">
        <w:rPr>
          <w:color w:val="365F91" w:themeColor="accent1" w:themeShade="BF"/>
          <w:sz w:val="36"/>
          <w:szCs w:val="36"/>
        </w:rPr>
        <w:t xml:space="preserve"> Notes</w:t>
      </w:r>
    </w:p>
    <w:p w:rsidR="006839F7" w:rsidRDefault="006839F7" w:rsidP="006839F7">
      <w:pPr>
        <w:jc w:val="center"/>
      </w:pPr>
    </w:p>
    <w:p w:rsidR="006839F7" w:rsidRDefault="006839F7" w:rsidP="006839F7">
      <w:r>
        <w:t>City of Toronto: Green Debenture Program</w:t>
      </w:r>
      <w:hyperlink r:id="rId7" w:history="1">
        <w:r w:rsidRPr="00F515E1">
          <w:rPr>
            <w:rStyle w:val="Hyperlink"/>
          </w:rPr>
          <w:t xml:space="preserve"> </w:t>
        </w:r>
        <w:r w:rsidR="00F515E1" w:rsidRPr="00F515E1">
          <w:rPr>
            <w:rStyle w:val="Hyperlink"/>
          </w:rPr>
          <w:t>link</w:t>
        </w:r>
      </w:hyperlink>
      <w:r w:rsidR="00F515E1">
        <w:t xml:space="preserve"> to the presentation</w:t>
      </w:r>
      <w:r w:rsidR="003307B0">
        <w:t xml:space="preserve">. </w:t>
      </w:r>
    </w:p>
    <w:p w:rsidR="0092546C" w:rsidRPr="0092546C" w:rsidRDefault="0092546C" w:rsidP="006839F7">
      <w:pPr>
        <w:rPr>
          <w:b/>
          <w:u w:val="single"/>
        </w:rPr>
      </w:pPr>
      <w:r w:rsidRPr="0092546C">
        <w:rPr>
          <w:b/>
          <w:u w:val="single"/>
        </w:rPr>
        <w:t>Background</w:t>
      </w:r>
    </w:p>
    <w:p w:rsidR="006839F7" w:rsidRDefault="004C3E9A" w:rsidP="006839F7">
      <w:r>
        <w:t xml:space="preserve">Marco and Betsy </w:t>
      </w:r>
      <w:r w:rsidR="00D43316">
        <w:t xml:space="preserve">formed a unique collaboration between Energy + Finance Departments in the city of Toronto in order to work on </w:t>
      </w:r>
      <w:r w:rsidR="0062010B">
        <w:t>i</w:t>
      </w:r>
      <w:r w:rsidR="006839F7">
        <w:t>nnovative finance – inter-go</w:t>
      </w:r>
      <w:r w:rsidR="0062010B">
        <w:t>vernment funding opportunity</w:t>
      </w:r>
      <w:r w:rsidR="006839F7">
        <w:t xml:space="preserve"> to</w:t>
      </w:r>
      <w:r w:rsidR="0062010B">
        <w:t xml:space="preserve"> support GHG reduction. </w:t>
      </w:r>
    </w:p>
    <w:p w:rsidR="00101A90" w:rsidRDefault="00101A90" w:rsidP="006839F7">
      <w:proofErr w:type="spellStart"/>
      <w:r>
        <w:t>TRansfor</w:t>
      </w:r>
      <w:r w:rsidR="0062010B">
        <w:t>m</w:t>
      </w:r>
      <w:proofErr w:type="spellEnd"/>
      <w:r>
        <w:t xml:space="preserve"> TO – Toronto Climate Action Strategy </w:t>
      </w:r>
      <w:r w:rsidR="0062010B">
        <w:t>targets are GHG reduction of 80% less</w:t>
      </w:r>
      <w:r w:rsidR="00DD1ED0">
        <w:t xml:space="preserve"> than 1990</w:t>
      </w:r>
      <w:r w:rsidR="0062010B">
        <w:t xml:space="preserve"> baseline by 2050</w:t>
      </w:r>
      <w:r w:rsidR="00DD1ED0">
        <w:t xml:space="preserve"> (</w:t>
      </w:r>
      <w:r w:rsidR="0062010B">
        <w:t xml:space="preserve">as for 2016, 33% are achieved). </w:t>
      </w:r>
    </w:p>
    <w:p w:rsidR="00101A90" w:rsidRDefault="0062010B" w:rsidP="006839F7">
      <w:r>
        <w:t xml:space="preserve">The Strategy has </w:t>
      </w:r>
      <w:r w:rsidR="00101A90">
        <w:t>23 Low Carbon short term</w:t>
      </w:r>
      <w:r>
        <w:t xml:space="preserve"> actions in regards to p</w:t>
      </w:r>
      <w:r w:rsidR="00101A90">
        <w:t>olicy, programs,</w:t>
      </w:r>
      <w:r>
        <w:t xml:space="preserve"> home energy retrofits, waste and others. </w:t>
      </w:r>
      <w:r w:rsidR="00101A90">
        <w:t xml:space="preserve"> </w:t>
      </w:r>
    </w:p>
    <w:p w:rsidR="00101A90" w:rsidRDefault="00101A90" w:rsidP="006839F7">
      <w:r>
        <w:t>Investment o</w:t>
      </w:r>
      <w:r w:rsidR="0062010B">
        <w:t xml:space="preserve">pportunity by 2050 – 60 billion. </w:t>
      </w:r>
    </w:p>
    <w:p w:rsidR="00101A90" w:rsidRDefault="0062010B" w:rsidP="006839F7">
      <w:pPr>
        <w:rPr>
          <w:b/>
        </w:rPr>
      </w:pPr>
      <w:r>
        <w:rPr>
          <w:b/>
        </w:rPr>
        <w:t>2/3 positive net present value. Which means that</w:t>
      </w:r>
      <w:r w:rsidR="00101A90" w:rsidRPr="00101A90">
        <w:rPr>
          <w:b/>
        </w:rPr>
        <w:t xml:space="preserve"> future energy cost savings are grea</w:t>
      </w:r>
      <w:r>
        <w:rPr>
          <w:b/>
        </w:rPr>
        <w:t xml:space="preserve">ter than the capital investment. </w:t>
      </w:r>
    </w:p>
    <w:p w:rsidR="00101A90" w:rsidRDefault="00101A90" w:rsidP="006839F7">
      <w:pPr>
        <w:rPr>
          <w:b/>
        </w:rPr>
      </w:pPr>
      <w:r>
        <w:rPr>
          <w:b/>
        </w:rPr>
        <w:t>Low carbon action</w:t>
      </w:r>
      <w:r w:rsidR="0062010B">
        <w:rPr>
          <w:b/>
        </w:rPr>
        <w:t xml:space="preserve">s are </w:t>
      </w:r>
      <w:r w:rsidR="00AF7DBF">
        <w:rPr>
          <w:b/>
        </w:rPr>
        <w:t xml:space="preserve">not just environmental </w:t>
      </w:r>
      <w:r w:rsidR="0062010B">
        <w:rPr>
          <w:b/>
        </w:rPr>
        <w:t>beneficial</w:t>
      </w:r>
      <w:r w:rsidR="00AF7DBF">
        <w:rPr>
          <w:b/>
        </w:rPr>
        <w:t xml:space="preserve"> but also </w:t>
      </w:r>
      <w:r w:rsidR="0062010B">
        <w:rPr>
          <w:b/>
        </w:rPr>
        <w:t>they make strong</w:t>
      </w:r>
      <w:r w:rsidR="00AF7DBF">
        <w:rPr>
          <w:b/>
        </w:rPr>
        <w:t xml:space="preserve"> </w:t>
      </w:r>
      <w:r>
        <w:rPr>
          <w:b/>
        </w:rPr>
        <w:t>ec</w:t>
      </w:r>
      <w:r w:rsidR="0062010B">
        <w:rPr>
          <w:b/>
        </w:rPr>
        <w:t xml:space="preserve">onomically sound business cases. </w:t>
      </w:r>
    </w:p>
    <w:p w:rsidR="00101A90" w:rsidRDefault="00DD1ED0" w:rsidP="006839F7">
      <w:r>
        <w:t>Q: Is</w:t>
      </w:r>
      <w:r w:rsidR="00101A90">
        <w:t xml:space="preserve"> the Building</w:t>
      </w:r>
      <w:r>
        <w:t xml:space="preserve"> Sector </w:t>
      </w:r>
      <w:r w:rsidR="00101A90">
        <w:t xml:space="preserve">most likely to be </w:t>
      </w:r>
      <w:r>
        <w:t xml:space="preserve">with </w:t>
      </w:r>
      <w:r w:rsidR="00101A90">
        <w:t>net positive</w:t>
      </w:r>
      <w:r>
        <w:t xml:space="preserve"> value</w:t>
      </w:r>
      <w:r w:rsidR="00101A90">
        <w:t xml:space="preserve"> and more difficult</w:t>
      </w:r>
      <w:r>
        <w:t xml:space="preserve"> NPV to be </w:t>
      </w:r>
      <w:r w:rsidR="0062010B">
        <w:t>achieved for</w:t>
      </w:r>
      <w:r w:rsidR="00101A90">
        <w:t xml:space="preserve"> the Transportation sector? </w:t>
      </w:r>
    </w:p>
    <w:p w:rsidR="00101A90" w:rsidRDefault="0062010B" w:rsidP="006839F7">
      <w:r>
        <w:t xml:space="preserve">A: </w:t>
      </w:r>
      <w:r w:rsidR="00101A90">
        <w:t>Not rea</w:t>
      </w:r>
      <w:r w:rsidR="00AF7DBF">
        <w:t>lly. There is no generalization</w:t>
      </w:r>
      <w:r w:rsidR="00101A90">
        <w:t>. There are better results on the electricity side wi</w:t>
      </w:r>
      <w:r w:rsidR="00DD1ED0">
        <w:t>th electricity reduction. But</w:t>
      </w:r>
      <w:r w:rsidR="00101A90">
        <w:t xml:space="preserve"> Ontario </w:t>
      </w:r>
      <w:r w:rsidR="00DD1ED0">
        <w:t>has</w:t>
      </w:r>
      <w:r w:rsidR="00101A90">
        <w:t xml:space="preserve"> fairly green grit – so electricity conservation does not get the GHG </w:t>
      </w:r>
      <w:r w:rsidR="00DD1ED0">
        <w:t xml:space="preserve">reduction </w:t>
      </w:r>
      <w:r w:rsidR="00101A90">
        <w:t xml:space="preserve">impact. </w:t>
      </w:r>
    </w:p>
    <w:p w:rsidR="00AF7DBF" w:rsidRDefault="002E3845" w:rsidP="006839F7">
      <w:r>
        <w:t>Q</w:t>
      </w:r>
      <w:r w:rsidR="00101A90">
        <w:t xml:space="preserve">:  </w:t>
      </w:r>
      <w:r w:rsidR="0062010B">
        <w:t>Does t</w:t>
      </w:r>
      <w:r w:rsidR="00101A90">
        <w:t xml:space="preserve">he modeling they did </w:t>
      </w:r>
      <w:r w:rsidR="0062010B">
        <w:t xml:space="preserve">only looked </w:t>
      </w:r>
      <w:r w:rsidR="00AF7DBF">
        <w:t xml:space="preserve">the </w:t>
      </w:r>
      <w:r w:rsidR="00101A90">
        <w:t xml:space="preserve">benefits to the municipality or bigger </w:t>
      </w:r>
      <w:r w:rsidR="00AF7DBF">
        <w:t>benefits, such a</w:t>
      </w:r>
      <w:r w:rsidR="0062010B">
        <w:t>s health and clean air benefits?</w:t>
      </w:r>
      <w:r w:rsidR="00AF7DBF">
        <w:t xml:space="preserve">  If we look the entire package</w:t>
      </w:r>
      <w:r w:rsidR="0062010B">
        <w:t xml:space="preserve"> there is</w:t>
      </w:r>
      <w:r w:rsidR="00AF7DBF">
        <w:t xml:space="preserve"> a positive NPV (3-4%) but if we model more comprehensively the benefits</w:t>
      </w:r>
      <w:r w:rsidR="0062010B">
        <w:t>,</w:t>
      </w:r>
      <w:r w:rsidR="00AF7DBF">
        <w:t xml:space="preserve"> other than </w:t>
      </w:r>
      <w:r w:rsidR="0062010B">
        <w:t xml:space="preserve">for </w:t>
      </w:r>
      <w:r w:rsidR="00AF7DBF">
        <w:t>the municipalities</w:t>
      </w:r>
      <w:r w:rsidR="0062010B">
        <w:t>,</w:t>
      </w:r>
      <w:r w:rsidR="00AF7DBF">
        <w:t xml:space="preserve"> the results may be different. </w:t>
      </w:r>
    </w:p>
    <w:p w:rsidR="00AF7DBF" w:rsidRPr="00AF7DBF" w:rsidRDefault="0062010B" w:rsidP="006839F7">
      <w:r>
        <w:lastRenderedPageBreak/>
        <w:t>A: T</w:t>
      </w:r>
      <w:r w:rsidR="00AF7DBF">
        <w:t xml:space="preserve">he model is limiting the ability to quantify the </w:t>
      </w:r>
      <w:r w:rsidR="00AF7DBF" w:rsidRPr="0092546C">
        <w:rPr>
          <w:b/>
          <w:u w:val="single"/>
        </w:rPr>
        <w:t>co-benefits</w:t>
      </w:r>
      <w:r w:rsidR="00AF7DBF">
        <w:t xml:space="preserve">. So another piece of work we are working </w:t>
      </w:r>
      <w:r>
        <w:t xml:space="preserve">on </w:t>
      </w:r>
      <w:r w:rsidR="00AF7DBF">
        <w:t xml:space="preserve">in Toronto is looking </w:t>
      </w:r>
      <w:r w:rsidR="00AF7DBF" w:rsidRPr="00AF7DBF">
        <w:rPr>
          <w:b/>
        </w:rPr>
        <w:t>at internalizing all the external benefits of low carbon actions</w:t>
      </w:r>
      <w:r w:rsidR="00AF7DBF">
        <w:t xml:space="preserve"> (i.e. improved local air-quality, health) and reflecting that in the business cases. </w:t>
      </w:r>
      <w:r w:rsidR="00AF7DBF" w:rsidRPr="00AF7DBF">
        <w:rPr>
          <w:b/>
        </w:rPr>
        <w:t xml:space="preserve">We do that through social price of carbon, also called shadow price on carbon in order to boost the business cases to more accurately reflect the societal impact. </w:t>
      </w:r>
      <w:r w:rsidR="00AF7DBF">
        <w:rPr>
          <w:b/>
        </w:rPr>
        <w:t xml:space="preserve"> </w:t>
      </w:r>
    </w:p>
    <w:p w:rsidR="0062010B" w:rsidRPr="00101A90" w:rsidRDefault="0062010B" w:rsidP="006839F7">
      <w:pPr>
        <w:rPr>
          <w:b/>
        </w:rPr>
      </w:pPr>
    </w:p>
    <w:p w:rsidR="00101A90" w:rsidRPr="0092546C" w:rsidRDefault="00AF7DBF" w:rsidP="006839F7">
      <w:pPr>
        <w:rPr>
          <w:b/>
          <w:u w:val="single"/>
        </w:rPr>
      </w:pPr>
      <w:r w:rsidRPr="0092546C">
        <w:rPr>
          <w:b/>
          <w:u w:val="single"/>
        </w:rPr>
        <w:t>Green Bond</w:t>
      </w:r>
    </w:p>
    <w:p w:rsidR="00AF7DBF" w:rsidRDefault="0062010B" w:rsidP="006839F7">
      <w:r>
        <w:t xml:space="preserve">The </w:t>
      </w:r>
      <w:r w:rsidR="00AF7DBF">
        <w:t xml:space="preserve">Market </w:t>
      </w:r>
    </w:p>
    <w:p w:rsidR="006839F7" w:rsidRDefault="00AF7DBF" w:rsidP="006839F7">
      <w:r>
        <w:t>More investors continue to shift towards socially responsible investin</w:t>
      </w:r>
      <w:r w:rsidR="0062010B">
        <w:t>g.  Not only there are more</w:t>
      </w:r>
      <w:r>
        <w:t xml:space="preserve"> green and sustainable funded </w:t>
      </w:r>
      <w:r w:rsidR="0062010B">
        <w:t>bonds but also more and more regular funds</w:t>
      </w:r>
      <w:r>
        <w:t xml:space="preserve"> are incorporating </w:t>
      </w:r>
      <w:r w:rsidR="0062010B">
        <w:t>the sustainable/green</w:t>
      </w:r>
      <w:r w:rsidR="00C5407B">
        <w:t xml:space="preserve"> factors in it. </w:t>
      </w:r>
    </w:p>
    <w:p w:rsidR="00C5407B" w:rsidRDefault="0062010B" w:rsidP="006839F7">
      <w:r>
        <w:t>The h</w:t>
      </w:r>
      <w:r w:rsidR="00C5407B">
        <w:t xml:space="preserve">igh demand is because of high quality of investors. Globally there are more Green Bonds issuance in </w:t>
      </w:r>
      <w:r w:rsidR="00DD1ED0">
        <w:t>the last 3 years. And in Canada</w:t>
      </w:r>
      <w:r w:rsidR="00C5407B">
        <w:t xml:space="preserve">, we have 13 deals in $8.3bln (2018). Big jump in the last year. </w:t>
      </w:r>
    </w:p>
    <w:p w:rsidR="00C5407B" w:rsidRDefault="00C5407B" w:rsidP="006839F7">
      <w:r>
        <w:t xml:space="preserve">Globally the large issuance are still Europeans and </w:t>
      </w:r>
      <w:r w:rsidR="000F3F9D">
        <w:t xml:space="preserve">there is an </w:t>
      </w:r>
      <w:r>
        <w:t xml:space="preserve">increase in China, Australia, and Canada. </w:t>
      </w:r>
    </w:p>
    <w:p w:rsidR="00C5407B" w:rsidRDefault="00C5407B" w:rsidP="006839F7">
      <w:r>
        <w:t>Green Bond Program started in 2018</w:t>
      </w:r>
      <w:r w:rsidR="000F3F9D">
        <w:t>. It is the s</w:t>
      </w:r>
      <w:r>
        <w:t>econd municipality to start</w:t>
      </w:r>
      <w:r w:rsidR="000F3F9D">
        <w:t xml:space="preserve"> it in Canada (after Ottawa). </w:t>
      </w:r>
    </w:p>
    <w:p w:rsidR="002D691E" w:rsidRDefault="000F3F9D" w:rsidP="006839F7">
      <w:pPr>
        <w:rPr>
          <w:b/>
        </w:rPr>
      </w:pPr>
      <w:r>
        <w:rPr>
          <w:b/>
        </w:rPr>
        <w:t>The Green Bond Program a</w:t>
      </w:r>
      <w:r w:rsidR="00C5407B" w:rsidRPr="002D691E">
        <w:rPr>
          <w:b/>
        </w:rPr>
        <w:t>cts like a General obligation bond but funds are used for supporting City’s environmental sustainability strategies.  There is e</w:t>
      </w:r>
      <w:r w:rsidR="002D691E" w:rsidRPr="002D691E">
        <w:rPr>
          <w:b/>
        </w:rPr>
        <w:t>stablished eligibility criteria such as annual reporting and complain assurance and requirement</w:t>
      </w:r>
      <w:r w:rsidR="002D691E">
        <w:rPr>
          <w:b/>
        </w:rPr>
        <w:t xml:space="preserve"> of framework.  </w:t>
      </w:r>
      <w:r w:rsidR="0061455D">
        <w:rPr>
          <w:b/>
        </w:rPr>
        <w:t>The standard of requirement should keep going up – increasing standards (example Clean Water</w:t>
      </w:r>
      <w:r>
        <w:rPr>
          <w:b/>
        </w:rPr>
        <w:t xml:space="preserve"> is not enough</w:t>
      </w:r>
      <w:r w:rsidR="0061455D">
        <w:rPr>
          <w:b/>
        </w:rPr>
        <w:t xml:space="preserve">, next </w:t>
      </w:r>
      <w:r>
        <w:rPr>
          <w:b/>
        </w:rPr>
        <w:t xml:space="preserve">step </w:t>
      </w:r>
      <w:r w:rsidR="0061455D">
        <w:rPr>
          <w:b/>
        </w:rPr>
        <w:t>is to be enhance</w:t>
      </w:r>
      <w:r>
        <w:rPr>
          <w:b/>
        </w:rPr>
        <w:t>d the</w:t>
      </w:r>
      <w:r w:rsidR="0061455D">
        <w:rPr>
          <w:b/>
        </w:rPr>
        <w:t xml:space="preserve"> efficienc</w:t>
      </w:r>
      <w:r>
        <w:rPr>
          <w:b/>
        </w:rPr>
        <w:t xml:space="preserve">y, or some kind of improvement). </w:t>
      </w:r>
    </w:p>
    <w:p w:rsidR="00AF7DBF" w:rsidRPr="002D691E" w:rsidRDefault="002D691E" w:rsidP="006839F7">
      <w:pPr>
        <w:rPr>
          <w:b/>
        </w:rPr>
      </w:pPr>
      <w:r>
        <w:rPr>
          <w:b/>
        </w:rPr>
        <w:t>The real cost drivers upfront are getting council to approve a framework and</w:t>
      </w:r>
      <w:r w:rsidR="000F3F9D">
        <w:rPr>
          <w:b/>
        </w:rPr>
        <w:t xml:space="preserve"> the need of</w:t>
      </w:r>
      <w:r>
        <w:rPr>
          <w:b/>
        </w:rPr>
        <w:t xml:space="preserve"> second party opinion</w:t>
      </w:r>
      <w:r w:rsidR="0061455D">
        <w:rPr>
          <w:b/>
        </w:rPr>
        <w:t xml:space="preserve"> </w:t>
      </w:r>
      <w:r w:rsidR="000F3F9D">
        <w:rPr>
          <w:b/>
        </w:rPr>
        <w:t>(the price of the latter being</w:t>
      </w:r>
      <w:r w:rsidR="0061455D">
        <w:rPr>
          <w:b/>
        </w:rPr>
        <w:t xml:space="preserve"> negotiable). </w:t>
      </w:r>
    </w:p>
    <w:p w:rsidR="00C5407B" w:rsidRPr="003F72C6" w:rsidRDefault="00C5407B" w:rsidP="006839F7">
      <w:pPr>
        <w:rPr>
          <w:b/>
        </w:rPr>
      </w:pPr>
      <w:r>
        <w:t xml:space="preserve">In 2018, City issued a $300 million in 2018 with over 36 investors with </w:t>
      </w:r>
      <w:r w:rsidRPr="0061455D">
        <w:rPr>
          <w:b/>
        </w:rPr>
        <w:t>premium issuance</w:t>
      </w:r>
      <w:r w:rsidR="002E3845">
        <w:t>. Premium</w:t>
      </w:r>
      <w:r>
        <w:t xml:space="preserve"> </w:t>
      </w:r>
      <w:r w:rsidRPr="003F72C6">
        <w:rPr>
          <w:b/>
        </w:rPr>
        <w:t xml:space="preserve">means cheaper to Toronto but more expensive to the investors. </w:t>
      </w:r>
    </w:p>
    <w:p w:rsidR="00C5407B" w:rsidRDefault="00EA4079" w:rsidP="006839F7">
      <w:r>
        <w:t>Q: How does Green Bond works?</w:t>
      </w:r>
      <w:r w:rsidR="00C5407B">
        <w:t xml:space="preserve"> </w:t>
      </w:r>
    </w:p>
    <w:p w:rsidR="00C5407B" w:rsidRDefault="00C5407B" w:rsidP="006839F7">
      <w:r>
        <w:t xml:space="preserve">A: When having a capital </w:t>
      </w:r>
      <w:r w:rsidR="00EA4079">
        <w:t>project</w:t>
      </w:r>
      <w:r>
        <w:t xml:space="preserve"> (depending on the municipalities) there are different ways of funding (mutual, </w:t>
      </w:r>
      <w:r w:rsidR="002D691E">
        <w:t>federal,</w:t>
      </w:r>
      <w:r>
        <w:t xml:space="preserve"> taxes…) </w:t>
      </w:r>
      <w:r w:rsidR="002D691E">
        <w:t>The Green Bond is similar; it uses a tax bases meaning</w:t>
      </w:r>
      <w:r w:rsidR="00EA4079">
        <w:t>;</w:t>
      </w:r>
      <w:r w:rsidR="002D691E">
        <w:t xml:space="preserve"> it is not secured by any specific assets. </w:t>
      </w:r>
    </w:p>
    <w:p w:rsidR="00EA4079" w:rsidRDefault="00EA4079" w:rsidP="006839F7">
      <w:pPr>
        <w:rPr>
          <w:b/>
        </w:rPr>
      </w:pPr>
      <w:r>
        <w:t>So the green bond just requires</w:t>
      </w:r>
      <w:r w:rsidR="002D691E">
        <w:t xml:space="preserve"> to have </w:t>
      </w:r>
      <w:proofErr w:type="gramStart"/>
      <w:r>
        <w:t>a criteria</w:t>
      </w:r>
      <w:proofErr w:type="gramEnd"/>
      <w:r w:rsidR="002D691E">
        <w:t xml:space="preserve"> for what projects are eligible for those funds. </w:t>
      </w:r>
      <w:r w:rsidR="002D691E" w:rsidRPr="002D691E">
        <w:rPr>
          <w:b/>
        </w:rPr>
        <w:t xml:space="preserve"> Infrastructure of capital projects are most of the time paid trough bonds market and it paid back through property taxes. </w:t>
      </w:r>
      <w:r w:rsidR="002D691E">
        <w:rPr>
          <w:b/>
        </w:rPr>
        <w:t xml:space="preserve"> </w:t>
      </w:r>
      <w:r>
        <w:rPr>
          <w:b/>
        </w:rPr>
        <w:t xml:space="preserve">The difference here is that the projects has to be related with GHG reduction, or energy efficiency or somehow related with </w:t>
      </w:r>
      <w:r w:rsidR="00017572">
        <w:rPr>
          <w:b/>
        </w:rPr>
        <w:t>enhancing sustainable and environmental goals</w:t>
      </w:r>
      <w:r>
        <w:rPr>
          <w:b/>
        </w:rPr>
        <w:t xml:space="preserve">.  </w:t>
      </w:r>
      <w:r w:rsidR="002D691E">
        <w:rPr>
          <w:b/>
        </w:rPr>
        <w:t xml:space="preserve">(14 min) </w:t>
      </w:r>
    </w:p>
    <w:p w:rsidR="00493D5F" w:rsidRPr="00EA4079" w:rsidRDefault="00493D5F" w:rsidP="006839F7"/>
    <w:p w:rsidR="00945D17" w:rsidRDefault="003F72C6" w:rsidP="006839F7">
      <w:r>
        <w:t xml:space="preserve">The program framework </w:t>
      </w:r>
      <w:r w:rsidR="00945D17">
        <w:t xml:space="preserve">can be found </w:t>
      </w:r>
      <w:hyperlink r:id="rId8" w:history="1">
        <w:r w:rsidR="00945D17" w:rsidRPr="00945D17">
          <w:rPr>
            <w:rStyle w:val="Hyperlink"/>
          </w:rPr>
          <w:t>here</w:t>
        </w:r>
      </w:hyperlink>
      <w:r w:rsidR="00945D17">
        <w:t xml:space="preserve">. </w:t>
      </w:r>
    </w:p>
    <w:p w:rsidR="0061455D" w:rsidRDefault="00945D17" w:rsidP="006839F7">
      <w:r>
        <w:t xml:space="preserve">It </w:t>
      </w:r>
      <w:r w:rsidR="003F72C6">
        <w:t xml:space="preserve">has received a positive external opinion from </w:t>
      </w:r>
      <w:proofErr w:type="spellStart"/>
      <w:r w:rsidR="003F72C6">
        <w:t>Sustainalytics</w:t>
      </w:r>
      <w:proofErr w:type="spellEnd"/>
      <w:r w:rsidR="003F72C6">
        <w:t xml:space="preserve">, a leading Green Bond second-party opinion provider. The opinion can be found </w:t>
      </w:r>
      <w:hyperlink r:id="rId9" w:history="1">
        <w:r w:rsidR="003F72C6" w:rsidRPr="003F72C6">
          <w:rPr>
            <w:rStyle w:val="Hyperlink"/>
          </w:rPr>
          <w:t>here.</w:t>
        </w:r>
      </w:hyperlink>
      <w:r w:rsidR="003F72C6">
        <w:t xml:space="preserve"> </w:t>
      </w:r>
    </w:p>
    <w:p w:rsidR="00EA4079" w:rsidRDefault="00EA4079" w:rsidP="006839F7"/>
    <w:p w:rsidR="003F72C6" w:rsidRPr="0092546C" w:rsidRDefault="00945D17" w:rsidP="006839F7">
      <w:pPr>
        <w:rPr>
          <w:b/>
          <w:u w:val="single"/>
        </w:rPr>
      </w:pPr>
      <w:r w:rsidRPr="0092546C">
        <w:rPr>
          <w:b/>
          <w:u w:val="single"/>
        </w:rPr>
        <w:t xml:space="preserve">Green Bond Program Framework </w:t>
      </w:r>
    </w:p>
    <w:p w:rsidR="00945D17" w:rsidRDefault="00945D17" w:rsidP="006839F7">
      <w:r>
        <w:t>Has 4 pillars:</w:t>
      </w:r>
    </w:p>
    <w:p w:rsidR="00945D17" w:rsidRDefault="00945D17" w:rsidP="00945D17">
      <w:pPr>
        <w:pStyle w:val="ListParagraph"/>
        <w:numPr>
          <w:ilvl w:val="0"/>
          <w:numId w:val="1"/>
        </w:numPr>
      </w:pPr>
      <w:r>
        <w:t xml:space="preserve">Use of Proceeds – Project Eligibility Criteria </w:t>
      </w:r>
    </w:p>
    <w:p w:rsidR="00945D17" w:rsidRDefault="00945D17" w:rsidP="00945D17">
      <w:pPr>
        <w:pStyle w:val="ListParagraph"/>
        <w:numPr>
          <w:ilvl w:val="0"/>
          <w:numId w:val="1"/>
        </w:numPr>
      </w:pPr>
      <w:r>
        <w:t xml:space="preserve">Project Evaluation and Selection Process </w:t>
      </w:r>
    </w:p>
    <w:p w:rsidR="00945D17" w:rsidRDefault="00945D17" w:rsidP="00945D17">
      <w:pPr>
        <w:pStyle w:val="ListParagraph"/>
        <w:numPr>
          <w:ilvl w:val="0"/>
          <w:numId w:val="1"/>
        </w:numPr>
      </w:pPr>
      <w:r>
        <w:t>Management of Proceeds</w:t>
      </w:r>
    </w:p>
    <w:p w:rsidR="00945D17" w:rsidRDefault="00945D17" w:rsidP="00EA4079">
      <w:pPr>
        <w:pStyle w:val="ListParagraph"/>
        <w:numPr>
          <w:ilvl w:val="0"/>
          <w:numId w:val="1"/>
        </w:numPr>
      </w:pPr>
      <w:r>
        <w:t xml:space="preserve">Reporting </w:t>
      </w:r>
    </w:p>
    <w:p w:rsidR="00945D17" w:rsidRDefault="00AF17A8" w:rsidP="006839F7">
      <w:r>
        <w:t xml:space="preserve">For example, the eligible projects in Toronto are: </w:t>
      </w:r>
    </w:p>
    <w:p w:rsidR="00AF17A8" w:rsidRPr="00AF17A8" w:rsidRDefault="00AF17A8" w:rsidP="006839F7">
      <w:pPr>
        <w:rPr>
          <w:u w:val="single"/>
        </w:rPr>
      </w:pPr>
      <w:r w:rsidRPr="00AF17A8">
        <w:rPr>
          <w:u w:val="single"/>
        </w:rPr>
        <w:t>Eligible Criteria:</w:t>
      </w:r>
    </w:p>
    <w:p w:rsidR="00AF17A8" w:rsidRDefault="00AF17A8" w:rsidP="00AF17A8">
      <w:pPr>
        <w:pStyle w:val="ListParagraph"/>
        <w:numPr>
          <w:ilvl w:val="0"/>
          <w:numId w:val="2"/>
        </w:numPr>
      </w:pPr>
      <w:r>
        <w:t>Renewable energy</w:t>
      </w:r>
    </w:p>
    <w:p w:rsidR="00AF17A8" w:rsidRDefault="00AF17A8" w:rsidP="00AF17A8">
      <w:pPr>
        <w:pStyle w:val="ListParagraph"/>
        <w:numPr>
          <w:ilvl w:val="0"/>
          <w:numId w:val="2"/>
        </w:numPr>
      </w:pPr>
      <w:r>
        <w:t xml:space="preserve">Energy efficiency </w:t>
      </w:r>
    </w:p>
    <w:p w:rsidR="00AF17A8" w:rsidRDefault="00AF17A8" w:rsidP="00AF17A8">
      <w:pPr>
        <w:pStyle w:val="ListParagraph"/>
        <w:numPr>
          <w:ilvl w:val="0"/>
          <w:numId w:val="2"/>
        </w:numPr>
      </w:pPr>
      <w:r>
        <w:t>Pollution prevention &amp; control and utilizing waste as a resource</w:t>
      </w:r>
    </w:p>
    <w:p w:rsidR="00AF17A8" w:rsidRDefault="00AF17A8" w:rsidP="00AF17A8">
      <w:pPr>
        <w:pStyle w:val="ListParagraph"/>
        <w:numPr>
          <w:ilvl w:val="0"/>
          <w:numId w:val="2"/>
        </w:numPr>
      </w:pPr>
      <w:r>
        <w:t xml:space="preserve">Sustainable clean transportation </w:t>
      </w:r>
    </w:p>
    <w:p w:rsidR="00AF17A8" w:rsidRDefault="00AF17A8" w:rsidP="00AF17A8">
      <w:pPr>
        <w:pStyle w:val="ListParagraph"/>
        <w:numPr>
          <w:ilvl w:val="0"/>
          <w:numId w:val="2"/>
        </w:numPr>
      </w:pPr>
      <w:r>
        <w:t>Sustainable water and waste water management</w:t>
      </w:r>
    </w:p>
    <w:p w:rsidR="00AF17A8" w:rsidRDefault="00AF17A8" w:rsidP="00AF17A8">
      <w:pPr>
        <w:pStyle w:val="ListParagraph"/>
        <w:numPr>
          <w:ilvl w:val="0"/>
          <w:numId w:val="2"/>
        </w:numPr>
      </w:pPr>
      <w:r>
        <w:t xml:space="preserve">Climate change adaptation and resilience </w:t>
      </w:r>
    </w:p>
    <w:p w:rsidR="00AF17A8" w:rsidRDefault="00AF17A8" w:rsidP="00AF17A8">
      <w:pPr>
        <w:pStyle w:val="ListParagraph"/>
        <w:numPr>
          <w:ilvl w:val="0"/>
          <w:numId w:val="2"/>
        </w:numPr>
      </w:pPr>
      <w:r>
        <w:t xml:space="preserve">Eco-efficient and/or circular economy principles integration </w:t>
      </w:r>
    </w:p>
    <w:p w:rsidR="00AF17A8" w:rsidRDefault="00AF17A8" w:rsidP="00AF17A8">
      <w:pPr>
        <w:pStyle w:val="ListParagraph"/>
        <w:numPr>
          <w:ilvl w:val="0"/>
          <w:numId w:val="2"/>
        </w:numPr>
      </w:pPr>
      <w:r>
        <w:t xml:space="preserve">Green buildings </w:t>
      </w:r>
    </w:p>
    <w:p w:rsidR="00AF17A8" w:rsidRPr="00E01838" w:rsidRDefault="00AF17A8" w:rsidP="00AF17A8">
      <w:pPr>
        <w:rPr>
          <w:u w:val="single"/>
        </w:rPr>
      </w:pPr>
      <w:r w:rsidRPr="00E01838">
        <w:rPr>
          <w:u w:val="single"/>
        </w:rPr>
        <w:t>Selection Process of Eligible Projects</w:t>
      </w:r>
      <w:r w:rsidR="00E01838">
        <w:rPr>
          <w:u w:val="single"/>
        </w:rPr>
        <w:t>:</w:t>
      </w:r>
      <w:r w:rsidRPr="00E01838">
        <w:rPr>
          <w:u w:val="single"/>
        </w:rPr>
        <w:t xml:space="preserve"> </w:t>
      </w:r>
    </w:p>
    <w:p w:rsidR="00E01838" w:rsidRDefault="00E01838" w:rsidP="00AF17A8">
      <w:r>
        <w:t xml:space="preserve">Working with other divisions such as EDD, TTC to select qualifying </w:t>
      </w:r>
      <w:r w:rsidR="00EA4079">
        <w:t>projects,</w:t>
      </w:r>
      <w:r>
        <w:t xml:space="preserve"> where the difficult part is as a financial team may not be able to understand what the project means – that is why there </w:t>
      </w:r>
      <w:r w:rsidRPr="00EA4079">
        <w:rPr>
          <w:b/>
        </w:rPr>
        <w:t>is a need for collaboration with other divisions</w:t>
      </w:r>
      <w:r>
        <w:t xml:space="preserve">. Also, collaboration with external legal firm to ensure the projects are approved by council. </w:t>
      </w:r>
    </w:p>
    <w:p w:rsidR="00AF17A8" w:rsidRDefault="00AF17A8" w:rsidP="00AF17A8">
      <w:pPr>
        <w:pStyle w:val="ListParagraph"/>
        <w:numPr>
          <w:ilvl w:val="0"/>
          <w:numId w:val="3"/>
        </w:numPr>
      </w:pPr>
      <w:r w:rsidRPr="00AF17A8">
        <w:t>Corporate Finance Division (CFD) responsible for selection of eligible projects in consultation with internal and external expert stakeholders</w:t>
      </w:r>
    </w:p>
    <w:p w:rsidR="00AF17A8" w:rsidRDefault="00AF17A8" w:rsidP="00AF17A8">
      <w:pPr>
        <w:pStyle w:val="ListParagraph"/>
        <w:numPr>
          <w:ilvl w:val="0"/>
          <w:numId w:val="3"/>
        </w:numPr>
      </w:pPr>
      <w:r w:rsidRPr="00AF17A8">
        <w:t xml:space="preserve">CFD to verify suitability and eligibility in collaboration with the Environment &amp; Energy Division </w:t>
      </w:r>
    </w:p>
    <w:p w:rsidR="00E01838" w:rsidRDefault="00AF17A8" w:rsidP="00E01838">
      <w:pPr>
        <w:pStyle w:val="ListParagraph"/>
        <w:numPr>
          <w:ilvl w:val="0"/>
          <w:numId w:val="3"/>
        </w:numPr>
      </w:pPr>
      <w:r w:rsidRPr="00AF17A8">
        <w:t>Eligible projects must be included in the council-approved capital budgets and authority verified by external legal firm</w:t>
      </w:r>
    </w:p>
    <w:p w:rsidR="0092546C" w:rsidRDefault="0092546C" w:rsidP="0092546C"/>
    <w:p w:rsidR="00E01838" w:rsidRDefault="00E01838" w:rsidP="00E01838">
      <w:pPr>
        <w:rPr>
          <w:u w:val="single"/>
        </w:rPr>
      </w:pPr>
      <w:r w:rsidRPr="00E01838">
        <w:rPr>
          <w:u w:val="single"/>
        </w:rPr>
        <w:lastRenderedPageBreak/>
        <w:t>Management of Proceeds:</w:t>
      </w:r>
    </w:p>
    <w:p w:rsidR="00E01838" w:rsidRPr="00E01838" w:rsidRDefault="00E01838" w:rsidP="00E01838">
      <w:pPr>
        <w:pStyle w:val="ListParagraph"/>
        <w:numPr>
          <w:ilvl w:val="0"/>
          <w:numId w:val="4"/>
        </w:numPr>
        <w:rPr>
          <w:u w:val="single"/>
        </w:rPr>
      </w:pPr>
      <w:r>
        <w:t xml:space="preserve">Majority of capital projects funded by bond proceeds have been completed or are substantially complete </w:t>
      </w:r>
    </w:p>
    <w:p w:rsidR="00E01838" w:rsidRPr="00E01838" w:rsidRDefault="00E01838" w:rsidP="00E01838">
      <w:pPr>
        <w:pStyle w:val="ListParagraph"/>
        <w:numPr>
          <w:ilvl w:val="0"/>
          <w:numId w:val="4"/>
        </w:numPr>
        <w:rPr>
          <w:u w:val="single"/>
        </w:rPr>
      </w:pPr>
      <w:r>
        <w:t>Bond proceeds applied directly to project to repay tem</w:t>
      </w:r>
      <w:r w:rsidR="0050431A">
        <w:t xml:space="preserve">porary funding for the project </w:t>
      </w:r>
    </w:p>
    <w:p w:rsidR="00E01838" w:rsidRPr="00E01838" w:rsidRDefault="00E01838" w:rsidP="00E01838">
      <w:pPr>
        <w:pStyle w:val="ListParagraph"/>
        <w:numPr>
          <w:ilvl w:val="0"/>
          <w:numId w:val="4"/>
        </w:numPr>
        <w:rPr>
          <w:u w:val="single"/>
        </w:rPr>
      </w:pPr>
      <w:r>
        <w:t xml:space="preserve"> Bond by-law includes schedule listing capital projects to be financed by the debenture </w:t>
      </w:r>
    </w:p>
    <w:p w:rsidR="00D271E4" w:rsidRPr="00D271E4" w:rsidRDefault="00E01838" w:rsidP="00D271E4">
      <w:pPr>
        <w:pStyle w:val="ListParagraph"/>
        <w:numPr>
          <w:ilvl w:val="0"/>
          <w:numId w:val="4"/>
        </w:numPr>
        <w:rPr>
          <w:u w:val="single"/>
        </w:rPr>
      </w:pPr>
      <w:r>
        <w:t xml:space="preserve"> In the rare cases, where substantial completion is yet to meet, funds will be held in a City account and tracked to ensure future allocation to the designated projects in compliance to the debenture by-law.</w:t>
      </w:r>
    </w:p>
    <w:p w:rsidR="00D271E4" w:rsidRDefault="00EA4079" w:rsidP="00D271E4">
      <w:pPr>
        <w:rPr>
          <w:b/>
        </w:rPr>
      </w:pPr>
      <w:r>
        <w:rPr>
          <w:b/>
        </w:rPr>
        <w:t xml:space="preserve">Gaby: </w:t>
      </w:r>
      <w:r w:rsidR="00D271E4" w:rsidRPr="00D271E4">
        <w:rPr>
          <w:b/>
        </w:rPr>
        <w:t>The city providers the financing upfront the</w:t>
      </w:r>
      <w:r w:rsidR="00D271E4">
        <w:rPr>
          <w:b/>
        </w:rPr>
        <w:t>n</w:t>
      </w:r>
      <w:r w:rsidR="0092546C">
        <w:rPr>
          <w:b/>
        </w:rPr>
        <w:t xml:space="preserve"> they go issue the bond. After,</w:t>
      </w:r>
      <w:r w:rsidR="00D271E4" w:rsidRPr="00D271E4">
        <w:rPr>
          <w:b/>
        </w:rPr>
        <w:t xml:space="preserve"> the city gets payed back with initial financing and then the bond is advancing </w:t>
      </w:r>
      <w:r w:rsidR="00D271E4">
        <w:rPr>
          <w:b/>
        </w:rPr>
        <w:t>that project moving forward</w:t>
      </w:r>
      <w:r w:rsidR="0092546C">
        <w:rPr>
          <w:b/>
        </w:rPr>
        <w:t>,</w:t>
      </w:r>
      <w:r w:rsidR="00D271E4">
        <w:rPr>
          <w:b/>
        </w:rPr>
        <w:t xml:space="preserve"> if there </w:t>
      </w:r>
      <w:r w:rsidR="0092546C">
        <w:rPr>
          <w:b/>
        </w:rPr>
        <w:t>are</w:t>
      </w:r>
      <w:r w:rsidR="00D271E4">
        <w:rPr>
          <w:b/>
        </w:rPr>
        <w:t xml:space="preserve"> any expenses the revenue is paying it back. </w:t>
      </w:r>
    </w:p>
    <w:p w:rsidR="00D271E4" w:rsidRDefault="00D271E4" w:rsidP="00D271E4">
      <w:r>
        <w:t>B</w:t>
      </w:r>
      <w:r w:rsidR="00EA4079">
        <w:t>etsy</w:t>
      </w:r>
      <w:r>
        <w:t xml:space="preserve">: </w:t>
      </w:r>
      <w:r w:rsidRPr="00D271E4">
        <w:t>Some cases there is pre-</w:t>
      </w:r>
      <w:r w:rsidR="0050431A" w:rsidRPr="00D271E4">
        <w:t xml:space="preserve">funding </w:t>
      </w:r>
      <w:r w:rsidR="0050431A">
        <w:t>(</w:t>
      </w:r>
      <w:r>
        <w:t xml:space="preserve">example subway and TTC) where we keep track of it. </w:t>
      </w:r>
    </w:p>
    <w:p w:rsidR="00D271E4" w:rsidRDefault="00D271E4" w:rsidP="00D271E4">
      <w:r>
        <w:t xml:space="preserve">Q: What happens if you get secured funding that happens to get canceled?  </w:t>
      </w:r>
    </w:p>
    <w:p w:rsidR="00D271E4" w:rsidRDefault="00EA4079" w:rsidP="00D271E4">
      <w:r>
        <w:t xml:space="preserve">A: </w:t>
      </w:r>
      <w:r w:rsidR="00D271E4">
        <w:t>We</w:t>
      </w:r>
      <w:r>
        <w:t xml:space="preserve"> (in </w:t>
      </w:r>
      <w:r w:rsidR="0092546C">
        <w:t>Toronto</w:t>
      </w:r>
      <w:r>
        <w:t>)</w:t>
      </w:r>
      <w:r w:rsidR="00D271E4">
        <w:t xml:space="preserve"> have provincial funding of 30</w:t>
      </w:r>
      <w:proofErr w:type="gramStart"/>
      <w:r w:rsidR="00D271E4">
        <w:t>% ,</w:t>
      </w:r>
      <w:proofErr w:type="gramEnd"/>
      <w:r w:rsidR="00D271E4">
        <w:t xml:space="preserve"> so if</w:t>
      </w:r>
      <w:r>
        <w:t xml:space="preserve"> we</w:t>
      </w:r>
      <w:r w:rsidR="00D271E4">
        <w:t xml:space="preserve"> issue 70 % and afterwards the 30% are not coming in. In order </w:t>
      </w:r>
      <w:r w:rsidR="0050431A">
        <w:t>to leave</w:t>
      </w:r>
      <w:r>
        <w:t>,</w:t>
      </w:r>
      <w:r w:rsidR="0050431A">
        <w:t xml:space="preserve"> the council has to approve to replace it either with working capital or tax, or debt. </w:t>
      </w:r>
    </w:p>
    <w:p w:rsidR="0092546C" w:rsidRDefault="0092546C" w:rsidP="00D271E4"/>
    <w:p w:rsidR="00625F7A" w:rsidRDefault="00625F7A" w:rsidP="00D271E4">
      <w:pPr>
        <w:rPr>
          <w:u w:val="single"/>
        </w:rPr>
      </w:pPr>
      <w:r w:rsidRPr="00625F7A">
        <w:rPr>
          <w:u w:val="single"/>
        </w:rPr>
        <w:t>Reporting:</w:t>
      </w:r>
    </w:p>
    <w:p w:rsidR="00625F7A" w:rsidRDefault="00625F7A" w:rsidP="00D271E4">
      <w:r>
        <w:t>The City will publish an annual newsletter on its website to address both funding allocation and sustainability impact reporting including:</w:t>
      </w:r>
    </w:p>
    <w:p w:rsidR="00625F7A" w:rsidRDefault="00625F7A" w:rsidP="00D271E4">
      <w:r>
        <w:t xml:space="preserve"> • Bond by-laws outlining the specific projects and amounts funded by green debentures;</w:t>
      </w:r>
    </w:p>
    <w:p w:rsidR="00625F7A" w:rsidRDefault="00625F7A" w:rsidP="00D271E4">
      <w:r>
        <w:t xml:space="preserve"> • Summary of the City’s green bond program developments including existing and future projects; </w:t>
      </w:r>
    </w:p>
    <w:p w:rsidR="00625F7A" w:rsidRDefault="00625F7A" w:rsidP="00D271E4">
      <w:r>
        <w:t xml:space="preserve">• Updates with respect to distribution of unspent bond proceeds; </w:t>
      </w:r>
    </w:p>
    <w:p w:rsidR="00625F7A" w:rsidRDefault="00625F7A" w:rsidP="00D271E4">
      <w:r>
        <w:t xml:space="preserve">• Project updates and status reports for Eligible Projects, when possible </w:t>
      </w:r>
    </w:p>
    <w:p w:rsidR="00625F7A" w:rsidRDefault="00625F7A" w:rsidP="00D271E4">
      <w:r>
        <w:t>• Key performance indicators on projected environmental benefits</w:t>
      </w:r>
    </w:p>
    <w:p w:rsidR="00EA4079" w:rsidRDefault="00EA4079" w:rsidP="00D271E4"/>
    <w:p w:rsidR="00625F7A" w:rsidRDefault="00625F7A" w:rsidP="00D271E4">
      <w:r>
        <w:t xml:space="preserve">Q: Do you do similar reporting to council? </w:t>
      </w:r>
    </w:p>
    <w:p w:rsidR="00625F7A" w:rsidRDefault="00625F7A" w:rsidP="00D271E4">
      <w:r>
        <w:t xml:space="preserve">A: No, the requirement is to report on annual bases and provide updates.  For reference, a regular bond does not require a reporting. </w:t>
      </w:r>
    </w:p>
    <w:p w:rsidR="00EA4079" w:rsidRDefault="00EA4079" w:rsidP="00D271E4"/>
    <w:p w:rsidR="00625F7A" w:rsidRDefault="00625F7A" w:rsidP="00D271E4">
      <w:pPr>
        <w:rPr>
          <w:u w:val="single"/>
        </w:rPr>
      </w:pPr>
      <w:r w:rsidRPr="00625F7A">
        <w:rPr>
          <w:u w:val="single"/>
        </w:rPr>
        <w:lastRenderedPageBreak/>
        <w:t>First Issuance</w:t>
      </w:r>
      <w:r>
        <w:rPr>
          <w:u w:val="single"/>
        </w:rPr>
        <w:t xml:space="preserve">: Eligible Projects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</w:tblGrid>
      <w:tr w:rsidR="00625F7A" w:rsidTr="00625F7A">
        <w:tc>
          <w:tcPr>
            <w:tcW w:w="3192" w:type="dxa"/>
          </w:tcPr>
          <w:p w:rsidR="00625F7A" w:rsidRPr="00625F7A" w:rsidRDefault="00625F7A" w:rsidP="00625F7A">
            <w:r w:rsidRPr="00625F7A">
              <w:t xml:space="preserve">Project </w:t>
            </w:r>
          </w:p>
          <w:p w:rsidR="00625F7A" w:rsidRDefault="00625F7A" w:rsidP="00D271E4"/>
        </w:tc>
        <w:tc>
          <w:tcPr>
            <w:tcW w:w="3192" w:type="dxa"/>
          </w:tcPr>
          <w:p w:rsidR="00625F7A" w:rsidRDefault="00625F7A" w:rsidP="00D271E4">
            <w:r>
              <w:t>Eligibility Criteria</w:t>
            </w:r>
          </w:p>
        </w:tc>
      </w:tr>
      <w:tr w:rsidR="00625F7A" w:rsidTr="00625F7A">
        <w:tc>
          <w:tcPr>
            <w:tcW w:w="3192" w:type="dxa"/>
          </w:tcPr>
          <w:p w:rsidR="00625F7A" w:rsidRDefault="00625F7A" w:rsidP="00625F7A">
            <w:r w:rsidRPr="00625F7A">
              <w:t xml:space="preserve">TTC </w:t>
            </w:r>
          </w:p>
          <w:p w:rsidR="00625F7A" w:rsidRPr="00625F7A" w:rsidRDefault="00625F7A" w:rsidP="00625F7A"/>
          <w:p w:rsidR="00625F7A" w:rsidRPr="00625F7A" w:rsidRDefault="00625F7A" w:rsidP="00625F7A">
            <w:r w:rsidRPr="00625F7A">
              <w:t>-Leslie Barns LRT Maintenance and Storage Facility</w:t>
            </w:r>
          </w:p>
          <w:p w:rsidR="00625F7A" w:rsidRPr="00625F7A" w:rsidRDefault="00625F7A" w:rsidP="00625F7A">
            <w:r w:rsidRPr="00625F7A">
              <w:t xml:space="preserve"> - Purchase of Subway Cars </w:t>
            </w:r>
          </w:p>
          <w:p w:rsidR="00625F7A" w:rsidRPr="00625F7A" w:rsidRDefault="00625F7A" w:rsidP="00625F7A">
            <w:r w:rsidRPr="00625F7A">
              <w:t xml:space="preserve">- Scarborough Subway Extension </w:t>
            </w:r>
          </w:p>
          <w:p w:rsidR="00625F7A" w:rsidRPr="00625F7A" w:rsidRDefault="00625F7A" w:rsidP="00625F7A">
            <w:r w:rsidRPr="00625F7A">
              <w:t>- Renewal of Core and Supporting Infrastructure of Electric Rail</w:t>
            </w:r>
          </w:p>
          <w:p w:rsidR="00625F7A" w:rsidRDefault="00625F7A" w:rsidP="00625F7A"/>
          <w:p w:rsidR="00625F7A" w:rsidRDefault="00625F7A" w:rsidP="00D271E4"/>
        </w:tc>
        <w:tc>
          <w:tcPr>
            <w:tcW w:w="3192" w:type="dxa"/>
          </w:tcPr>
          <w:p w:rsidR="00625F7A" w:rsidRDefault="00625F7A" w:rsidP="00D271E4">
            <w:r>
              <w:t>Sustainable Clean Transportation</w:t>
            </w:r>
          </w:p>
        </w:tc>
      </w:tr>
      <w:tr w:rsidR="00625F7A" w:rsidTr="00625F7A">
        <w:tc>
          <w:tcPr>
            <w:tcW w:w="3192" w:type="dxa"/>
          </w:tcPr>
          <w:p w:rsidR="00625F7A" w:rsidRPr="00625F7A" w:rsidRDefault="00625F7A" w:rsidP="00625F7A">
            <w:r>
              <w:t>Union Station Revitalization</w:t>
            </w:r>
          </w:p>
        </w:tc>
        <w:tc>
          <w:tcPr>
            <w:tcW w:w="3192" w:type="dxa"/>
          </w:tcPr>
          <w:p w:rsidR="00625F7A" w:rsidRDefault="00625F7A" w:rsidP="00D271E4">
            <w:r>
              <w:t xml:space="preserve">Energy Efficiency </w:t>
            </w:r>
          </w:p>
        </w:tc>
      </w:tr>
    </w:tbl>
    <w:p w:rsidR="00625F7A" w:rsidRDefault="00625F7A" w:rsidP="00D271E4"/>
    <w:p w:rsidR="00625F7A" w:rsidRDefault="00625F7A" w:rsidP="00D271E4">
      <w:r w:rsidRPr="009A6F65">
        <w:rPr>
          <w:b/>
        </w:rPr>
        <w:t xml:space="preserve">Green Bond only use infrastructure projects that are </w:t>
      </w:r>
      <w:r w:rsidR="009A6F65" w:rsidRPr="009A6F65">
        <w:rPr>
          <w:b/>
        </w:rPr>
        <w:t>city ‘owned, not private sector.</w:t>
      </w:r>
      <w:r w:rsidR="009A6F65">
        <w:t xml:space="preserve"> </w:t>
      </w:r>
      <w:r>
        <w:t xml:space="preserve"> </w:t>
      </w:r>
    </w:p>
    <w:p w:rsidR="009A6F65" w:rsidRPr="00B14CFB" w:rsidRDefault="009A6F65" w:rsidP="00D271E4">
      <w:pPr>
        <w:rPr>
          <w:b/>
        </w:rPr>
      </w:pPr>
      <w:r>
        <w:t>Q: Can municipality issue Green Bond and set up a Green Bank</w:t>
      </w:r>
      <w:r w:rsidR="00B14CFB">
        <w:t xml:space="preserve"> -</w:t>
      </w:r>
      <w:r>
        <w:t xml:space="preserve"> with that money loan it to householders and private sector company to retrofits, use the energy savings and pay back that bond?  </w:t>
      </w:r>
      <w:r w:rsidRPr="00B14CFB">
        <w:rPr>
          <w:b/>
        </w:rPr>
        <w:t xml:space="preserve">(Can it be used to finance community initiatives?) </w:t>
      </w:r>
    </w:p>
    <w:p w:rsidR="009A6F65" w:rsidRDefault="009A6F65" w:rsidP="00D271E4">
      <w:r>
        <w:t xml:space="preserve">A: We believe you can but needs to be checked.  (Can be set as a research question) </w:t>
      </w:r>
    </w:p>
    <w:p w:rsidR="00625F7A" w:rsidRDefault="009A6F65" w:rsidP="00D271E4">
      <w:r>
        <w:t xml:space="preserve">Q: Energy efficiency and GHG reduction projects have a positive NPV which pays for the project, but how about other sector projects that do not pay itself? </w:t>
      </w:r>
    </w:p>
    <w:p w:rsidR="009A6F65" w:rsidRDefault="009A6F65" w:rsidP="00D271E4">
      <w:r>
        <w:t xml:space="preserve">A: It is in discussion! It is tax supported! </w:t>
      </w:r>
      <w:r w:rsidR="00286A0A">
        <w:t>We use</w:t>
      </w:r>
      <w:r w:rsidR="00017572">
        <w:t xml:space="preserve"> recoverable debt</w:t>
      </w:r>
      <w:r w:rsidR="00286A0A">
        <w:t xml:space="preserve">. </w:t>
      </w:r>
    </w:p>
    <w:p w:rsidR="00286A0A" w:rsidRDefault="00286A0A" w:rsidP="00D271E4">
      <w:r>
        <w:t xml:space="preserve">The TTC project is recoverable debt that they will pay back thought the tax base, but the savings from use of renewable is </w:t>
      </w:r>
      <w:r w:rsidR="00B14CFB">
        <w:t xml:space="preserve">also </w:t>
      </w:r>
      <w:r>
        <w:t xml:space="preserve">part of paying back. </w:t>
      </w:r>
    </w:p>
    <w:p w:rsidR="0092546C" w:rsidRDefault="0092546C" w:rsidP="00D271E4"/>
    <w:p w:rsidR="00286A0A" w:rsidRPr="00017572" w:rsidRDefault="00286A0A" w:rsidP="00D271E4">
      <w:pPr>
        <w:rPr>
          <w:b/>
        </w:rPr>
      </w:pPr>
      <w:r w:rsidRPr="00017572">
        <w:rPr>
          <w:b/>
        </w:rPr>
        <w:t>Key Message</w:t>
      </w:r>
      <w:r w:rsidR="009A59BF" w:rsidRPr="00017572">
        <w:rPr>
          <w:b/>
        </w:rPr>
        <w:t xml:space="preserve"> when talking with financial team</w:t>
      </w:r>
      <w:r w:rsidRPr="00017572">
        <w:rPr>
          <w:b/>
        </w:rPr>
        <w:t xml:space="preserve"> is:</w:t>
      </w:r>
    </w:p>
    <w:p w:rsidR="00286A0A" w:rsidRDefault="00286A0A" w:rsidP="00017572">
      <w:pPr>
        <w:pStyle w:val="ListParagraph"/>
        <w:numPr>
          <w:ilvl w:val="0"/>
          <w:numId w:val="8"/>
        </w:numPr>
      </w:pPr>
      <w:r>
        <w:t xml:space="preserve">Green Bonds are not different than General Bonds </w:t>
      </w:r>
    </w:p>
    <w:p w:rsidR="00286A0A" w:rsidRDefault="00286A0A" w:rsidP="00D271E4">
      <w:r>
        <w:t>The difference:</w:t>
      </w:r>
    </w:p>
    <w:p w:rsidR="00286A0A" w:rsidRDefault="00286A0A" w:rsidP="00017572">
      <w:pPr>
        <w:pStyle w:val="ListParagraph"/>
        <w:numPr>
          <w:ilvl w:val="0"/>
          <w:numId w:val="8"/>
        </w:numPr>
      </w:pPr>
      <w:r>
        <w:t xml:space="preserve">There is a need of third party opinion (based on the developed framework) and ongoing reporting </w:t>
      </w:r>
    </w:p>
    <w:p w:rsidR="0092546C" w:rsidRDefault="0092546C" w:rsidP="0092546C">
      <w:pPr>
        <w:pStyle w:val="ListParagraph"/>
      </w:pPr>
    </w:p>
    <w:p w:rsidR="009A59BF" w:rsidRDefault="009A59BF" w:rsidP="00D271E4">
      <w:r>
        <w:lastRenderedPageBreak/>
        <w:t>Q: Risk mitigation</w:t>
      </w:r>
      <w:r w:rsidR="00A95A87">
        <w:t xml:space="preserve"> consideration where you are </w:t>
      </w:r>
      <w:r w:rsidR="00017572">
        <w:t>enhancing the</w:t>
      </w:r>
      <w:r w:rsidR="00A95A87">
        <w:t xml:space="preserve"> resilience of the city and therefore the </w:t>
      </w:r>
      <w:r>
        <w:t>exposure</w:t>
      </w:r>
      <w:r w:rsidR="00A95A87">
        <w:t xml:space="preserve"> </w:t>
      </w:r>
      <w:r w:rsidR="00017572">
        <w:t>to the</w:t>
      </w:r>
      <w:r>
        <w:t xml:space="preserve"> side effects of extreme </w:t>
      </w:r>
      <w:r w:rsidR="00A95A87">
        <w:t xml:space="preserve">weather events … </w:t>
      </w:r>
      <w:r>
        <w:t xml:space="preserve">How do you qualify in dollars </w:t>
      </w:r>
      <w:r w:rsidR="00A87E62">
        <w:t xml:space="preserve">terms </w:t>
      </w:r>
      <w:r>
        <w:t xml:space="preserve">the law suits that you did not get? </w:t>
      </w:r>
    </w:p>
    <w:p w:rsidR="00A95A87" w:rsidRDefault="00A95A87" w:rsidP="00D271E4">
      <w:r>
        <w:t xml:space="preserve">A:  There is a need of enterprise </w:t>
      </w:r>
      <w:r w:rsidR="00017572">
        <w:t>level reporting</w:t>
      </w:r>
      <w:r w:rsidR="00A87E62">
        <w:t xml:space="preserve"> and </w:t>
      </w:r>
      <w:r w:rsidR="00017572">
        <w:t xml:space="preserve">exposure disclosure exercise. </w:t>
      </w:r>
    </w:p>
    <w:p w:rsidR="0092546C" w:rsidRDefault="0092546C" w:rsidP="00D271E4"/>
    <w:p w:rsidR="00A87E62" w:rsidRPr="0092546C" w:rsidRDefault="009A59BF" w:rsidP="00D271E4">
      <w:pPr>
        <w:rPr>
          <w:u w:val="single"/>
        </w:rPr>
      </w:pPr>
      <w:r w:rsidRPr="0092546C">
        <w:rPr>
          <w:b/>
          <w:u w:val="single"/>
        </w:rPr>
        <w:t xml:space="preserve">4 </w:t>
      </w:r>
      <w:proofErr w:type="spellStart"/>
      <w:r w:rsidRPr="0092546C">
        <w:rPr>
          <w:b/>
          <w:u w:val="single"/>
        </w:rPr>
        <w:t>EcoFiscal</w:t>
      </w:r>
      <w:proofErr w:type="spellEnd"/>
      <w:r w:rsidRPr="0092546C">
        <w:rPr>
          <w:b/>
          <w:u w:val="single"/>
        </w:rPr>
        <w:t xml:space="preserve"> Toolbox</w:t>
      </w:r>
      <w:r w:rsidR="0092546C" w:rsidRPr="0092546C">
        <w:rPr>
          <w:u w:val="single"/>
        </w:rPr>
        <w:t xml:space="preserve"> </w:t>
      </w:r>
    </w:p>
    <w:p w:rsidR="00A87E62" w:rsidRDefault="00A87E62" w:rsidP="00D271E4">
      <w:r>
        <w:t xml:space="preserve">There are 4 </w:t>
      </w:r>
      <w:proofErr w:type="spellStart"/>
      <w:r>
        <w:t>ecofiscal</w:t>
      </w:r>
      <w:proofErr w:type="spellEnd"/>
      <w:r>
        <w:t xml:space="preserve"> tools that the city has in play today:</w:t>
      </w:r>
    </w:p>
    <w:p w:rsidR="009A59BF" w:rsidRDefault="00A87E62" w:rsidP="00D271E4">
      <w:proofErr w:type="spellStart"/>
      <w:r>
        <w:t>EcoFiscal</w:t>
      </w:r>
      <w:proofErr w:type="spellEnd"/>
      <w:r>
        <w:t xml:space="preserve"> </w:t>
      </w:r>
      <w:r w:rsidR="00017572">
        <w:t>meaning –</w:t>
      </w:r>
      <w:r w:rsidR="00A95A87">
        <w:t xml:space="preserve"> Dedicated revenue streams</w:t>
      </w:r>
      <w:r>
        <w:t xml:space="preserve"> or</w:t>
      </w:r>
      <w:r w:rsidR="00A95A87">
        <w:t xml:space="preserve"> incentive offering linked to trying to insight actions </w:t>
      </w:r>
      <w:r>
        <w:t>on a part of residents and business to do low carbon action to support the cities in their sustainability and e</w:t>
      </w:r>
      <w:r w:rsidR="00493D5F">
        <w:t>nvironmental goals.</w:t>
      </w:r>
    </w:p>
    <w:p w:rsidR="00A87E62" w:rsidRDefault="00493D5F" w:rsidP="00A87E62">
      <w:pPr>
        <w:pStyle w:val="ListParagraph"/>
        <w:numPr>
          <w:ilvl w:val="0"/>
          <w:numId w:val="5"/>
        </w:numPr>
      </w:pPr>
      <w:r>
        <w:t>Recoverable Debt Financing</w:t>
      </w:r>
      <w:r w:rsidR="00A87E62">
        <w:t xml:space="preserve"> - eligible to corporate bu</w:t>
      </w:r>
      <w:r w:rsidR="00D67B40">
        <w:t>ilding</w:t>
      </w:r>
      <w:r w:rsidR="00A87E62">
        <w:t xml:space="preserve"> facilities (agencies) and non-profit</w:t>
      </w:r>
      <w:r w:rsidR="00D67B40">
        <w:t xml:space="preserve"> sector</w:t>
      </w:r>
      <w:r w:rsidR="00A87E62">
        <w:t xml:space="preserve">. It is an internal loan to a city division who may </w:t>
      </w:r>
      <w:r>
        <w:t>be</w:t>
      </w:r>
      <w:r w:rsidR="00D67B40">
        <w:t xml:space="preserve"> </w:t>
      </w:r>
      <w:r w:rsidR="00A87E62">
        <w:t>build</w:t>
      </w:r>
      <w:r w:rsidR="00D67B40">
        <w:t>ing</w:t>
      </w:r>
      <w:r w:rsidR="00A87E62">
        <w:t xml:space="preserve"> new recreational center and it </w:t>
      </w:r>
      <w:r w:rsidR="00D67B40">
        <w:t xml:space="preserve">wants and need to be </w:t>
      </w:r>
      <w:r w:rsidR="00A87E62">
        <w:t xml:space="preserve">energy efficiency </w:t>
      </w:r>
      <w:r w:rsidR="00D67B40">
        <w:t xml:space="preserve">with </w:t>
      </w:r>
      <w:r w:rsidR="00A87E62">
        <w:t>sustainability features of that building. So to be eligible to access this funding and get to repay it over a time:</w:t>
      </w:r>
    </w:p>
    <w:p w:rsidR="00A95A87" w:rsidRDefault="00A87E62" w:rsidP="00A87E62">
      <w:pPr>
        <w:pStyle w:val="ListParagraph"/>
        <w:numPr>
          <w:ilvl w:val="0"/>
          <w:numId w:val="7"/>
        </w:numPr>
      </w:pPr>
      <w:r>
        <w:t xml:space="preserve">Project must demonstrate a positive business case and payback within 20 years.  – it has to have future savings or revenue stream as greater as the capital cost. </w:t>
      </w:r>
    </w:p>
    <w:p w:rsidR="00A87E62" w:rsidRDefault="00A87E62" w:rsidP="00A87E62">
      <w:pPr>
        <w:pStyle w:val="ListParagraph"/>
        <w:numPr>
          <w:ilvl w:val="0"/>
          <w:numId w:val="7"/>
        </w:numPr>
      </w:pPr>
      <w:r>
        <w:t xml:space="preserve">Virtually ‘no limit’ to capital City’s capital program.  </w:t>
      </w:r>
    </w:p>
    <w:p w:rsidR="00A87E62" w:rsidRPr="00BE359D" w:rsidRDefault="00A87E62" w:rsidP="00675873">
      <w:pPr>
        <w:ind w:left="720"/>
        <w:rPr>
          <w:b/>
        </w:rPr>
      </w:pPr>
      <w:r w:rsidRPr="00BE359D">
        <w:rPr>
          <w:b/>
        </w:rPr>
        <w:t>Shadow pricing carbon is part of the bu</w:t>
      </w:r>
      <w:r w:rsidR="00675873" w:rsidRPr="00BE359D">
        <w:rPr>
          <w:b/>
        </w:rPr>
        <w:t xml:space="preserve">siness case for these projects </w:t>
      </w:r>
      <w:r w:rsidRPr="00BE359D">
        <w:rPr>
          <w:b/>
        </w:rPr>
        <w:t xml:space="preserve">which boosts the business case </w:t>
      </w:r>
      <w:r w:rsidR="00675873" w:rsidRPr="00BE359D">
        <w:rPr>
          <w:b/>
        </w:rPr>
        <w:t xml:space="preserve">for natural gas primarily, which is low cost but has a high GHG </w:t>
      </w:r>
      <w:r w:rsidR="00BE359D" w:rsidRPr="00BE359D">
        <w:rPr>
          <w:b/>
        </w:rPr>
        <w:t>reduction potential</w:t>
      </w:r>
      <w:r w:rsidR="00BE359D">
        <w:rPr>
          <w:b/>
        </w:rPr>
        <w:t xml:space="preserve"> </w:t>
      </w:r>
      <w:r w:rsidR="00675873" w:rsidRPr="00BE359D">
        <w:rPr>
          <w:b/>
        </w:rPr>
        <w:t xml:space="preserve">and benefits projects that fuel switch. </w:t>
      </w:r>
    </w:p>
    <w:p w:rsidR="00675873" w:rsidRDefault="00675873" w:rsidP="00675873">
      <w:pPr>
        <w:pStyle w:val="ListParagraph"/>
        <w:numPr>
          <w:ilvl w:val="0"/>
          <w:numId w:val="5"/>
        </w:numPr>
      </w:pPr>
      <w:r>
        <w:t xml:space="preserve">Local Improvement Charge Financing </w:t>
      </w:r>
    </w:p>
    <w:p w:rsidR="00675873" w:rsidRDefault="00675873" w:rsidP="00675873">
      <w:pPr>
        <w:pStyle w:val="ListParagraph"/>
        <w:numPr>
          <w:ilvl w:val="0"/>
          <w:numId w:val="7"/>
        </w:numPr>
      </w:pPr>
      <w:r>
        <w:t>2013 the province made regulatory changes that allows all municipalities to effectively to provide funding to private property owners to undertake environment</w:t>
      </w:r>
      <w:r w:rsidR="00493D5F">
        <w:t>al work – energy efficiency, GHG</w:t>
      </w:r>
      <w:r>
        <w:t xml:space="preserve"> reduction and etc. </w:t>
      </w:r>
    </w:p>
    <w:p w:rsidR="00675873" w:rsidRDefault="00675873" w:rsidP="00675873">
      <w:pPr>
        <w:pStyle w:val="ListParagraph"/>
        <w:numPr>
          <w:ilvl w:val="0"/>
          <w:numId w:val="7"/>
        </w:numPr>
      </w:pPr>
      <w:r>
        <w:t xml:space="preserve">It works as a loan – where the municipality provides the funding and it is repaid over time through tax bill. But it is not a debt obligation because it is attached to the property and it is treated differently. </w:t>
      </w:r>
    </w:p>
    <w:p w:rsidR="00675873" w:rsidRDefault="00675873" w:rsidP="00675873">
      <w:pPr>
        <w:pStyle w:val="ListParagraph"/>
        <w:numPr>
          <w:ilvl w:val="0"/>
          <w:numId w:val="7"/>
        </w:numPr>
      </w:pPr>
      <w:r>
        <w:t>Homeowners benefit from low-borrowing rates and longer payment terms.</w:t>
      </w:r>
    </w:p>
    <w:p w:rsidR="00675873" w:rsidRDefault="00675873" w:rsidP="00675873">
      <w:pPr>
        <w:pStyle w:val="ListParagraph"/>
        <w:ind w:left="1080"/>
      </w:pPr>
      <w:r>
        <w:t>The added benefit is should the property sell at any point during the payment term the obligation trans</w:t>
      </w:r>
      <w:r w:rsidR="00C36FA0">
        <w:t>fers to the next property owner</w:t>
      </w:r>
      <w:r>
        <w:t xml:space="preserve">. </w:t>
      </w:r>
    </w:p>
    <w:p w:rsidR="00675873" w:rsidRDefault="00675873" w:rsidP="00675873">
      <w:r>
        <w:t>Q: How many properties have sold</w:t>
      </w:r>
      <w:r w:rsidR="00493D5F">
        <w:t xml:space="preserve"> while you are working on it? </w:t>
      </w:r>
    </w:p>
    <w:p w:rsidR="00675873" w:rsidRDefault="00C36FA0" w:rsidP="00675873">
      <w:r>
        <w:t>A: Hard to track</w:t>
      </w:r>
      <w:r w:rsidR="00675873">
        <w:t xml:space="preserve">. It is a research question. </w:t>
      </w:r>
      <w:r>
        <w:t xml:space="preserve"> </w:t>
      </w:r>
    </w:p>
    <w:p w:rsidR="00C36FA0" w:rsidRDefault="00C36FA0" w:rsidP="00D271E4">
      <w:r>
        <w:t>The goal is to retrofit all buildings by 2050. Applying LICF to any private building that access capital fr</w:t>
      </w:r>
      <w:r w:rsidR="0092546C">
        <w:t>om the city for deep retrofits.</w:t>
      </w:r>
    </w:p>
    <w:p w:rsidR="00C36FA0" w:rsidRDefault="00C36FA0" w:rsidP="00C36FA0">
      <w:pPr>
        <w:pStyle w:val="ListParagraph"/>
        <w:numPr>
          <w:ilvl w:val="0"/>
          <w:numId w:val="5"/>
        </w:numPr>
      </w:pPr>
      <w:r>
        <w:lastRenderedPageBreak/>
        <w:t xml:space="preserve">Development Charge Refund </w:t>
      </w:r>
    </w:p>
    <w:p w:rsidR="00C36FA0" w:rsidRDefault="00C36FA0" w:rsidP="00C36FA0">
      <w:pPr>
        <w:pStyle w:val="ListParagraph"/>
        <w:numPr>
          <w:ilvl w:val="0"/>
          <w:numId w:val="7"/>
        </w:numPr>
      </w:pPr>
      <w:r>
        <w:t xml:space="preserve">Toronto Green Standard has a Development Charge Refund which </w:t>
      </w:r>
      <w:r w:rsidR="00FA17FD">
        <w:t>incentivises</w:t>
      </w:r>
      <w:r>
        <w:t xml:space="preserve"> developers to build buildings with high energy performing and additional sustainability features. </w:t>
      </w:r>
    </w:p>
    <w:p w:rsidR="00FA17FD" w:rsidRDefault="00FA17FD" w:rsidP="00C36FA0">
      <w:pPr>
        <w:pStyle w:val="ListParagraph"/>
        <w:numPr>
          <w:ilvl w:val="0"/>
          <w:numId w:val="7"/>
        </w:numPr>
      </w:pPr>
      <w:r w:rsidRPr="00FA17FD">
        <w:t>Typical refund for a condominium tower is about $500,000</w:t>
      </w:r>
    </w:p>
    <w:p w:rsidR="00FA17FD" w:rsidRDefault="00FA17FD" w:rsidP="00C36FA0">
      <w:pPr>
        <w:pStyle w:val="ListParagraph"/>
        <w:numPr>
          <w:ilvl w:val="0"/>
          <w:numId w:val="7"/>
        </w:numPr>
      </w:pPr>
      <w:r>
        <w:t xml:space="preserve"> </w:t>
      </w:r>
      <w:r w:rsidRPr="00FA17FD">
        <w:t>Cost-benefit analysis shows $1.2 billion in avoided costs over 25 years related to infrastructure expansion</w:t>
      </w:r>
    </w:p>
    <w:p w:rsidR="001F0C0E" w:rsidRDefault="001F0C0E" w:rsidP="001F0C0E">
      <w:pPr>
        <w:pStyle w:val="ListParagraph"/>
        <w:ind w:left="1080"/>
      </w:pPr>
    </w:p>
    <w:p w:rsidR="00C36FA0" w:rsidRDefault="001F0C0E" w:rsidP="001F0C0E">
      <w:pPr>
        <w:pStyle w:val="ListParagraph"/>
        <w:numPr>
          <w:ilvl w:val="0"/>
          <w:numId w:val="5"/>
        </w:numPr>
      </w:pPr>
      <w:r>
        <w:t xml:space="preserve">Carbon Offset Credits </w:t>
      </w:r>
    </w:p>
    <w:p w:rsidR="001F0C0E" w:rsidRDefault="001F0C0E" w:rsidP="001F0C0E">
      <w:pPr>
        <w:pStyle w:val="ListParagraph"/>
      </w:pPr>
      <w:r>
        <w:t xml:space="preserve">Supply offsets which are quantified emission reductions and be able to commercialize and realize new revenues by establishing markets for them. </w:t>
      </w:r>
    </w:p>
    <w:p w:rsidR="001F0C0E" w:rsidRDefault="00493D5F" w:rsidP="001F0C0E">
      <w:pPr>
        <w:pStyle w:val="ListParagraph"/>
      </w:pPr>
      <w:r>
        <w:t>So the</w:t>
      </w:r>
      <w:r w:rsidR="001F0C0E">
        <w:t xml:space="preserve"> banks and other private sector that have the carbon neutral commitments </w:t>
      </w:r>
      <w:r w:rsidR="004C3E9A">
        <w:t>as organizations where they can reduce their emissions by 80% but they will turn to a</w:t>
      </w:r>
      <w:r>
        <w:t>n</w:t>
      </w:r>
      <w:r w:rsidR="004C3E9A">
        <w:t xml:space="preserve"> offset market to buy the balance of those reductions in order to make a claim that they are carbon neutral.  So the city saw an opportunity to be a supplier for those reductions to other organizations. </w:t>
      </w:r>
    </w:p>
    <w:p w:rsidR="001F0C0E" w:rsidRDefault="002441CE" w:rsidP="004C3E9A">
      <w:r>
        <w:t xml:space="preserve">Q: What will be the kind of opportunity on municipality finance network that exists and this story to be shared there? </w:t>
      </w:r>
    </w:p>
    <w:p w:rsidR="002441CE" w:rsidRDefault="002441CE" w:rsidP="004C3E9A">
      <w:r>
        <w:t xml:space="preserve">A: Yes, we can present. </w:t>
      </w:r>
      <w:r w:rsidR="009A7A1A">
        <w:t xml:space="preserve"> The Green Bond market is unique in regards to size so different municipalities will need different strategies to build the market</w:t>
      </w:r>
      <w:r w:rsidR="009A7A1A" w:rsidRPr="00273F11">
        <w:rPr>
          <w:b/>
        </w:rPr>
        <w:t xml:space="preserve">.  But investments fund, insurance companies, retirement plans are potential investors </w:t>
      </w:r>
      <w:r w:rsidR="00493D5F" w:rsidRPr="00273F11">
        <w:rPr>
          <w:b/>
        </w:rPr>
        <w:t>that can</w:t>
      </w:r>
      <w:r w:rsidR="009A7A1A" w:rsidRPr="00273F11">
        <w:rPr>
          <w:b/>
        </w:rPr>
        <w:t xml:space="preserve"> buy bonds.</w:t>
      </w:r>
      <w:r w:rsidR="009A7A1A">
        <w:t xml:space="preserve"> </w:t>
      </w:r>
      <w:bookmarkStart w:id="0" w:name="_GoBack"/>
      <w:bookmarkEnd w:id="0"/>
    </w:p>
    <w:p w:rsidR="00EE362F" w:rsidRDefault="00EE362F" w:rsidP="004C3E9A"/>
    <w:p w:rsidR="00EE362F" w:rsidRDefault="00EE362F" w:rsidP="004C3E9A"/>
    <w:p w:rsidR="00EE362F" w:rsidRDefault="00EE362F" w:rsidP="004C3E9A"/>
    <w:p w:rsidR="00EE362F" w:rsidRDefault="00EE362F" w:rsidP="004C3E9A"/>
    <w:p w:rsidR="00EE362F" w:rsidRDefault="00EE362F" w:rsidP="004C3E9A"/>
    <w:p w:rsidR="00EE362F" w:rsidRDefault="00EE362F" w:rsidP="004C3E9A"/>
    <w:p w:rsidR="00EE362F" w:rsidRDefault="00EE362F" w:rsidP="004C3E9A"/>
    <w:p w:rsidR="00EE362F" w:rsidRDefault="00EE362F" w:rsidP="004C3E9A"/>
    <w:p w:rsidR="00EE362F" w:rsidRDefault="00EE362F" w:rsidP="004C3E9A"/>
    <w:p w:rsidR="00EE362F" w:rsidRDefault="00EE362F" w:rsidP="004C3E9A"/>
    <w:p w:rsidR="00493D5F" w:rsidRDefault="00493D5F" w:rsidP="004C3E9A"/>
    <w:p w:rsidR="002F0AC1" w:rsidRPr="00C443B4" w:rsidRDefault="002F0AC1" w:rsidP="002F0AC1">
      <w:pPr>
        <w:spacing w:line="240" w:lineRule="auto"/>
      </w:pPr>
    </w:p>
    <w:sectPr w:rsidR="002F0AC1" w:rsidRPr="00C443B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B75BE"/>
    <w:multiLevelType w:val="hybridMultilevel"/>
    <w:tmpl w:val="AC7C95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B6DFC"/>
    <w:multiLevelType w:val="hybridMultilevel"/>
    <w:tmpl w:val="8D82394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971A1"/>
    <w:multiLevelType w:val="hybridMultilevel"/>
    <w:tmpl w:val="E85A51A8"/>
    <w:lvl w:ilvl="0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52E53F1"/>
    <w:multiLevelType w:val="hybridMultilevel"/>
    <w:tmpl w:val="2716C55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03F9B"/>
    <w:multiLevelType w:val="hybridMultilevel"/>
    <w:tmpl w:val="30D23A0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27F1A"/>
    <w:multiLevelType w:val="hybridMultilevel"/>
    <w:tmpl w:val="BE8A46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2C4069"/>
    <w:multiLevelType w:val="hybridMultilevel"/>
    <w:tmpl w:val="26EC8480"/>
    <w:lvl w:ilvl="0" w:tplc="92BA95B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1FC2FA9"/>
    <w:multiLevelType w:val="hybridMultilevel"/>
    <w:tmpl w:val="48AA1492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6656538"/>
    <w:multiLevelType w:val="hybridMultilevel"/>
    <w:tmpl w:val="C19E657C"/>
    <w:lvl w:ilvl="0" w:tplc="10090003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92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abstractNum w:abstractNumId="9" w15:restartNumberingAfterBreak="0">
    <w:nsid w:val="16AC7305"/>
    <w:multiLevelType w:val="hybridMultilevel"/>
    <w:tmpl w:val="38C8A83E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3463F7"/>
    <w:multiLevelType w:val="hybridMultilevel"/>
    <w:tmpl w:val="383CE83E"/>
    <w:lvl w:ilvl="0" w:tplc="F21A65D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0C5818"/>
    <w:multiLevelType w:val="hybridMultilevel"/>
    <w:tmpl w:val="32206AE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C167EB"/>
    <w:multiLevelType w:val="hybridMultilevel"/>
    <w:tmpl w:val="9DE854F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DA45A1"/>
    <w:multiLevelType w:val="hybridMultilevel"/>
    <w:tmpl w:val="0A04AEB2"/>
    <w:lvl w:ilvl="0" w:tplc="F21A65D6">
      <w:start w:val="5"/>
      <w:numFmt w:val="bullet"/>
      <w:lvlText w:val="-"/>
      <w:lvlJc w:val="left"/>
      <w:pPr>
        <w:ind w:left="1488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4" w15:restartNumberingAfterBreak="0">
    <w:nsid w:val="30F02D0D"/>
    <w:multiLevelType w:val="hybridMultilevel"/>
    <w:tmpl w:val="53EC0FF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8D3477"/>
    <w:multiLevelType w:val="hybridMultilevel"/>
    <w:tmpl w:val="0644A23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164AD9"/>
    <w:multiLevelType w:val="hybridMultilevel"/>
    <w:tmpl w:val="3A7E77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6D411E"/>
    <w:multiLevelType w:val="hybridMultilevel"/>
    <w:tmpl w:val="38F0DA2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860BA0"/>
    <w:multiLevelType w:val="multilevel"/>
    <w:tmpl w:val="16DC4A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54200C28"/>
    <w:multiLevelType w:val="hybridMultilevel"/>
    <w:tmpl w:val="8ED0430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6402AC3"/>
    <w:multiLevelType w:val="hybridMultilevel"/>
    <w:tmpl w:val="D05CE8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CC2799"/>
    <w:multiLevelType w:val="hybridMultilevel"/>
    <w:tmpl w:val="356CD30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F3439A"/>
    <w:multiLevelType w:val="hybridMultilevel"/>
    <w:tmpl w:val="678610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4A57F8"/>
    <w:multiLevelType w:val="hybridMultilevel"/>
    <w:tmpl w:val="AAC4B7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DF7B0B"/>
    <w:multiLevelType w:val="hybridMultilevel"/>
    <w:tmpl w:val="0F5CA78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2"/>
  </w:num>
  <w:num w:numId="3">
    <w:abstractNumId w:val="0"/>
  </w:num>
  <w:num w:numId="4">
    <w:abstractNumId w:val="16"/>
  </w:num>
  <w:num w:numId="5">
    <w:abstractNumId w:val="21"/>
  </w:num>
  <w:num w:numId="6">
    <w:abstractNumId w:val="6"/>
  </w:num>
  <w:num w:numId="7">
    <w:abstractNumId w:val="9"/>
  </w:num>
  <w:num w:numId="8">
    <w:abstractNumId w:val="23"/>
  </w:num>
  <w:num w:numId="9">
    <w:abstractNumId w:val="18"/>
  </w:num>
  <w:num w:numId="10">
    <w:abstractNumId w:val="20"/>
  </w:num>
  <w:num w:numId="11">
    <w:abstractNumId w:val="14"/>
  </w:num>
  <w:num w:numId="12">
    <w:abstractNumId w:val="5"/>
  </w:num>
  <w:num w:numId="13">
    <w:abstractNumId w:val="7"/>
  </w:num>
  <w:num w:numId="14">
    <w:abstractNumId w:val="10"/>
  </w:num>
  <w:num w:numId="15">
    <w:abstractNumId w:val="11"/>
  </w:num>
  <w:num w:numId="16">
    <w:abstractNumId w:val="17"/>
  </w:num>
  <w:num w:numId="17">
    <w:abstractNumId w:val="3"/>
  </w:num>
  <w:num w:numId="18">
    <w:abstractNumId w:val="12"/>
  </w:num>
  <w:num w:numId="19">
    <w:abstractNumId w:val="2"/>
  </w:num>
  <w:num w:numId="20">
    <w:abstractNumId w:val="19"/>
  </w:num>
  <w:num w:numId="21">
    <w:abstractNumId w:val="4"/>
  </w:num>
  <w:num w:numId="22">
    <w:abstractNumId w:val="24"/>
  </w:num>
  <w:num w:numId="23">
    <w:abstractNumId w:val="13"/>
  </w:num>
  <w:num w:numId="24">
    <w:abstractNumId w:val="8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CA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9F7"/>
    <w:rsid w:val="000014D4"/>
    <w:rsid w:val="00017572"/>
    <w:rsid w:val="00043186"/>
    <w:rsid w:val="000D38DB"/>
    <w:rsid w:val="000F3F9D"/>
    <w:rsid w:val="001019C6"/>
    <w:rsid w:val="00101A90"/>
    <w:rsid w:val="001879E0"/>
    <w:rsid w:val="001C13A7"/>
    <w:rsid w:val="001F0C0E"/>
    <w:rsid w:val="002441CE"/>
    <w:rsid w:val="00273F11"/>
    <w:rsid w:val="00275B91"/>
    <w:rsid w:val="00286A0A"/>
    <w:rsid w:val="002D691E"/>
    <w:rsid w:val="002E3845"/>
    <w:rsid w:val="002F0AC1"/>
    <w:rsid w:val="00315A12"/>
    <w:rsid w:val="003307B0"/>
    <w:rsid w:val="003F72C6"/>
    <w:rsid w:val="004039AA"/>
    <w:rsid w:val="00444C76"/>
    <w:rsid w:val="004821AC"/>
    <w:rsid w:val="00493D5F"/>
    <w:rsid w:val="004C3E9A"/>
    <w:rsid w:val="0050431A"/>
    <w:rsid w:val="00524B6E"/>
    <w:rsid w:val="00554B31"/>
    <w:rsid w:val="00555208"/>
    <w:rsid w:val="00566C82"/>
    <w:rsid w:val="00582B43"/>
    <w:rsid w:val="005861B7"/>
    <w:rsid w:val="005D225B"/>
    <w:rsid w:val="0061455D"/>
    <w:rsid w:val="0062010B"/>
    <w:rsid w:val="00625F7A"/>
    <w:rsid w:val="00640455"/>
    <w:rsid w:val="00650E60"/>
    <w:rsid w:val="00675873"/>
    <w:rsid w:val="006839F7"/>
    <w:rsid w:val="006A6F12"/>
    <w:rsid w:val="006E7EBA"/>
    <w:rsid w:val="0081652D"/>
    <w:rsid w:val="00840772"/>
    <w:rsid w:val="008A4616"/>
    <w:rsid w:val="008D34B8"/>
    <w:rsid w:val="0092546C"/>
    <w:rsid w:val="00945D17"/>
    <w:rsid w:val="009A59BF"/>
    <w:rsid w:val="009A6F65"/>
    <w:rsid w:val="009A7A1A"/>
    <w:rsid w:val="00A05F25"/>
    <w:rsid w:val="00A07867"/>
    <w:rsid w:val="00A209FD"/>
    <w:rsid w:val="00A312AE"/>
    <w:rsid w:val="00A448CD"/>
    <w:rsid w:val="00A87E62"/>
    <w:rsid w:val="00A95A87"/>
    <w:rsid w:val="00AF17A8"/>
    <w:rsid w:val="00AF7DBF"/>
    <w:rsid w:val="00B14CFB"/>
    <w:rsid w:val="00B307E5"/>
    <w:rsid w:val="00B92DC0"/>
    <w:rsid w:val="00BE359D"/>
    <w:rsid w:val="00C36FA0"/>
    <w:rsid w:val="00C443B4"/>
    <w:rsid w:val="00C5407B"/>
    <w:rsid w:val="00C64414"/>
    <w:rsid w:val="00CB375C"/>
    <w:rsid w:val="00CB51AC"/>
    <w:rsid w:val="00D270D0"/>
    <w:rsid w:val="00D271E4"/>
    <w:rsid w:val="00D33131"/>
    <w:rsid w:val="00D43316"/>
    <w:rsid w:val="00D67B40"/>
    <w:rsid w:val="00DC451A"/>
    <w:rsid w:val="00DD1ED0"/>
    <w:rsid w:val="00DF0FFA"/>
    <w:rsid w:val="00E01838"/>
    <w:rsid w:val="00E031EE"/>
    <w:rsid w:val="00E5158B"/>
    <w:rsid w:val="00E5280A"/>
    <w:rsid w:val="00E93CA0"/>
    <w:rsid w:val="00EA4079"/>
    <w:rsid w:val="00EE2DDE"/>
    <w:rsid w:val="00EE362F"/>
    <w:rsid w:val="00F515E1"/>
    <w:rsid w:val="00FA17FD"/>
    <w:rsid w:val="00FC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FEABD"/>
  <w15:docId w15:val="{309FB39C-8133-4FEE-8221-59A8BA488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9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72C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45D17"/>
    <w:pPr>
      <w:ind w:left="720"/>
      <w:contextualSpacing/>
    </w:pPr>
  </w:style>
  <w:style w:type="table" w:styleId="TableGrid">
    <w:name w:val="Table Grid"/>
    <w:basedOn w:val="TableNormal"/>
    <w:uiPriority w:val="59"/>
    <w:rsid w:val="00625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1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162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ronto.ca/city-government/budget-finances/city-finance/investor-relations/green-debenture-program/green-debenture-framework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eanairpartnership.org/cac/wp-content/uploads/2019/01/19.1.24-MIedits-CAP-Presentation-version-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oronto.ca/wp-content/uploads/2018/03/8fb2-City-TO-Green-Debenture-Framework_SPO_FINAL-0319201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7</Pages>
  <Words>1937</Words>
  <Characters>11041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Desislava Stefanova</dc:creator>
  <cp:lastModifiedBy>Desislava Stefanova</cp:lastModifiedBy>
  <cp:revision>26</cp:revision>
  <dcterms:created xsi:type="dcterms:W3CDTF">2019-01-31T19:03:00Z</dcterms:created>
  <dcterms:modified xsi:type="dcterms:W3CDTF">2019-02-04T15:35:00Z</dcterms:modified>
</cp:coreProperties>
</file>