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E21BC0" w:rsidP="008D389C">
      <w:pPr>
        <w:jc w:val="both"/>
      </w:pPr>
      <w:r>
        <w:rPr>
          <w:noProof/>
          <w:lang w:val="en-US"/>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66" w:rsidRDefault="009A580D" w:rsidP="008D389C">
      <w:pPr>
        <w:tabs>
          <w:tab w:val="left" w:pos="7619"/>
        </w:tabs>
        <w:jc w:val="both"/>
      </w:pPr>
      <w:r>
        <w:tab/>
      </w:r>
    </w:p>
    <w:p w:rsidR="005576BB" w:rsidRDefault="005576BB" w:rsidP="005576BB">
      <w:pPr>
        <w:pStyle w:val="Heading1"/>
        <w:rPr>
          <w:rFonts w:asciiTheme="minorHAnsi" w:hAnsiTheme="minorHAnsi" w:cstheme="minorHAnsi"/>
          <w:sz w:val="30"/>
          <w:szCs w:val="30"/>
        </w:rPr>
      </w:pPr>
      <w:bookmarkStart w:id="0" w:name="_Toc505004423"/>
      <w:bookmarkStart w:id="1" w:name="_Toc505004521"/>
      <w:bookmarkStart w:id="2" w:name="_Toc505004557"/>
      <w:bookmarkStart w:id="3" w:name="_Toc505250353"/>
      <w:r w:rsidRPr="005576BB">
        <w:rPr>
          <w:rFonts w:asciiTheme="minorHAnsi" w:hAnsiTheme="minorHAnsi" w:cstheme="minorHAnsi"/>
          <w:sz w:val="30"/>
          <w:szCs w:val="30"/>
        </w:rPr>
        <w:t xml:space="preserve">CAC Declaration, 2018 </w:t>
      </w:r>
      <w:proofErr w:type="spellStart"/>
      <w:r w:rsidRPr="005576BB">
        <w:rPr>
          <w:rFonts w:asciiTheme="minorHAnsi" w:hAnsiTheme="minorHAnsi" w:cstheme="minorHAnsi"/>
          <w:sz w:val="30"/>
          <w:szCs w:val="30"/>
        </w:rPr>
        <w:t>Workplan</w:t>
      </w:r>
      <w:proofErr w:type="spellEnd"/>
      <w:r w:rsidR="0021171A" w:rsidRPr="005576BB">
        <w:rPr>
          <w:rFonts w:asciiTheme="minorHAnsi" w:hAnsiTheme="minorHAnsi" w:cstheme="minorHAnsi"/>
          <w:sz w:val="30"/>
          <w:szCs w:val="30"/>
        </w:rPr>
        <w:t xml:space="preserve">, </w:t>
      </w:r>
    </w:p>
    <w:p w:rsidR="0021171A" w:rsidRPr="005576BB" w:rsidRDefault="005576BB" w:rsidP="005576BB">
      <w:pPr>
        <w:pStyle w:val="Heading1"/>
        <w:rPr>
          <w:rFonts w:asciiTheme="minorHAnsi" w:hAnsiTheme="minorHAnsi" w:cstheme="minorHAnsi"/>
          <w:sz w:val="30"/>
          <w:szCs w:val="30"/>
        </w:rPr>
      </w:pPr>
      <w:r w:rsidRPr="005576BB">
        <w:rPr>
          <w:rFonts w:asciiTheme="minorHAnsi" w:hAnsiTheme="minorHAnsi" w:cstheme="minorHAnsi"/>
          <w:sz w:val="30"/>
          <w:szCs w:val="30"/>
        </w:rPr>
        <w:t xml:space="preserve">GHG Guideline Consultations &amp; MEP </w:t>
      </w:r>
      <w:r w:rsidR="0021171A" w:rsidRPr="005576BB">
        <w:rPr>
          <w:rFonts w:asciiTheme="minorHAnsi" w:hAnsiTheme="minorHAnsi" w:cstheme="minorHAnsi"/>
          <w:sz w:val="30"/>
          <w:szCs w:val="30"/>
        </w:rPr>
        <w:t xml:space="preserve">Program </w:t>
      </w:r>
      <w:bookmarkEnd w:id="0"/>
      <w:bookmarkEnd w:id="1"/>
      <w:bookmarkEnd w:id="2"/>
      <w:bookmarkEnd w:id="3"/>
      <w:r w:rsidR="00686450" w:rsidRPr="005576BB">
        <w:rPr>
          <w:rFonts w:asciiTheme="minorHAnsi" w:hAnsiTheme="minorHAnsi" w:cstheme="minorHAnsi"/>
          <w:sz w:val="30"/>
          <w:szCs w:val="30"/>
        </w:rPr>
        <w:t>Feedback</w:t>
      </w:r>
    </w:p>
    <w:p w:rsidR="000F05DF" w:rsidRPr="005576BB" w:rsidRDefault="000F05DF" w:rsidP="005576BB">
      <w:pPr>
        <w:pStyle w:val="Heading1"/>
        <w:rPr>
          <w:rFonts w:asciiTheme="minorHAnsi" w:hAnsiTheme="minorHAnsi" w:cstheme="minorHAnsi"/>
          <w:sz w:val="30"/>
          <w:szCs w:val="30"/>
        </w:rPr>
      </w:pPr>
      <w:bookmarkStart w:id="4" w:name="_Toc505004424"/>
      <w:bookmarkStart w:id="5" w:name="_Toc505004522"/>
      <w:bookmarkStart w:id="6" w:name="_Toc505004558"/>
      <w:bookmarkStart w:id="7" w:name="_Toc505250354"/>
      <w:r w:rsidRPr="005576BB">
        <w:rPr>
          <w:rFonts w:asciiTheme="minorHAnsi" w:hAnsiTheme="minorHAnsi" w:cstheme="minorHAnsi"/>
          <w:sz w:val="30"/>
          <w:szCs w:val="30"/>
        </w:rPr>
        <w:t>Meeting Notes Summary</w:t>
      </w:r>
      <w:bookmarkEnd w:id="4"/>
      <w:bookmarkEnd w:id="5"/>
      <w:bookmarkEnd w:id="6"/>
      <w:bookmarkEnd w:id="7"/>
    </w:p>
    <w:p w:rsidR="005576BB" w:rsidRPr="005576BB" w:rsidRDefault="0021171A" w:rsidP="005576BB">
      <w:pPr>
        <w:pStyle w:val="Heading1"/>
        <w:rPr>
          <w:rFonts w:asciiTheme="minorHAnsi" w:hAnsiTheme="minorHAnsi" w:cstheme="minorHAnsi"/>
          <w:sz w:val="30"/>
          <w:szCs w:val="30"/>
        </w:rPr>
      </w:pPr>
      <w:bookmarkStart w:id="8" w:name="_Toc505004425"/>
      <w:bookmarkStart w:id="9" w:name="_Toc505004523"/>
      <w:bookmarkStart w:id="10" w:name="_Toc505004559"/>
      <w:bookmarkStart w:id="11" w:name="_Toc505250355"/>
      <w:r w:rsidRPr="005576BB">
        <w:rPr>
          <w:rFonts w:asciiTheme="minorHAnsi" w:hAnsiTheme="minorHAnsi" w:cstheme="minorHAnsi"/>
          <w:sz w:val="30"/>
          <w:szCs w:val="30"/>
        </w:rPr>
        <w:t>Friday</w:t>
      </w:r>
      <w:r w:rsidR="005834DA" w:rsidRPr="005576BB">
        <w:rPr>
          <w:rFonts w:asciiTheme="minorHAnsi" w:hAnsiTheme="minorHAnsi" w:cstheme="minorHAnsi"/>
          <w:sz w:val="30"/>
          <w:szCs w:val="30"/>
        </w:rPr>
        <w:t>,</w:t>
      </w:r>
      <w:r w:rsidRPr="005576BB">
        <w:rPr>
          <w:rFonts w:asciiTheme="minorHAnsi" w:hAnsiTheme="minorHAnsi" w:cstheme="minorHAnsi"/>
          <w:sz w:val="30"/>
          <w:szCs w:val="30"/>
        </w:rPr>
        <w:t xml:space="preserve"> January 26</w:t>
      </w:r>
      <w:r w:rsidR="000F05DF" w:rsidRPr="005576BB">
        <w:rPr>
          <w:rFonts w:asciiTheme="minorHAnsi" w:hAnsiTheme="minorHAnsi" w:cstheme="minorHAnsi"/>
          <w:sz w:val="30"/>
          <w:szCs w:val="30"/>
        </w:rPr>
        <w:t>, 201</w:t>
      </w:r>
      <w:bookmarkEnd w:id="8"/>
      <w:bookmarkEnd w:id="9"/>
      <w:bookmarkEnd w:id="10"/>
      <w:bookmarkEnd w:id="11"/>
      <w:r w:rsidR="006863BD" w:rsidRPr="005576BB">
        <w:rPr>
          <w:rFonts w:asciiTheme="minorHAnsi" w:hAnsiTheme="minorHAnsi" w:cstheme="minorHAnsi"/>
          <w:sz w:val="30"/>
          <w:szCs w:val="30"/>
        </w:rPr>
        <w:t>8</w:t>
      </w:r>
      <w:bookmarkStart w:id="12" w:name="_Toc505250357"/>
    </w:p>
    <w:bookmarkEnd w:id="12"/>
    <w:p w:rsidR="005576BB" w:rsidRPr="005576BB" w:rsidRDefault="005576BB" w:rsidP="005576BB">
      <w:pPr>
        <w:rPr>
          <w:rFonts w:asciiTheme="minorHAnsi" w:hAnsiTheme="minorHAnsi" w:cstheme="minorHAnsi"/>
          <w:b/>
          <w:sz w:val="24"/>
          <w:szCs w:val="24"/>
        </w:rPr>
      </w:pPr>
    </w:p>
    <w:p w:rsidR="005576BB" w:rsidRDefault="005576BB" w:rsidP="005576BB">
      <w:pPr>
        <w:rPr>
          <w:rFonts w:asciiTheme="minorHAnsi" w:hAnsiTheme="minorHAnsi" w:cstheme="minorHAnsi"/>
          <w:b/>
          <w:sz w:val="24"/>
          <w:szCs w:val="24"/>
        </w:rPr>
      </w:pPr>
      <w:r w:rsidRPr="005576BB">
        <w:rPr>
          <w:rFonts w:asciiTheme="minorHAnsi" w:hAnsiTheme="minorHAnsi" w:cstheme="minorHAnsi"/>
          <w:b/>
          <w:sz w:val="24"/>
          <w:szCs w:val="24"/>
        </w:rPr>
        <w:t>Clean Air Council</w:t>
      </w:r>
      <w:r>
        <w:rPr>
          <w:rFonts w:asciiTheme="minorHAnsi" w:hAnsiTheme="minorHAnsi" w:cstheme="minorHAnsi"/>
          <w:b/>
          <w:sz w:val="24"/>
          <w:szCs w:val="24"/>
        </w:rPr>
        <w:t xml:space="preserve"> Joint Actions</w:t>
      </w:r>
      <w:r w:rsidR="004A61D8">
        <w:rPr>
          <w:rFonts w:asciiTheme="minorHAnsi" w:hAnsiTheme="minorHAnsi" w:cstheme="minorHAnsi"/>
          <w:b/>
          <w:sz w:val="24"/>
          <w:szCs w:val="24"/>
        </w:rPr>
        <w:t xml:space="preserve"> (see slides for more information on actions related to each of the Declaration actions for 2018) </w:t>
      </w:r>
    </w:p>
    <w:p w:rsidR="009307D4" w:rsidRPr="00AF32CD" w:rsidRDefault="009307D4" w:rsidP="005576BB">
      <w:pPr>
        <w:rPr>
          <w:rFonts w:asciiTheme="minorHAnsi" w:hAnsiTheme="minorHAnsi" w:cstheme="minorHAnsi"/>
          <w:sz w:val="24"/>
          <w:szCs w:val="24"/>
        </w:rPr>
      </w:pPr>
      <w:r w:rsidRPr="00AF32CD">
        <w:rPr>
          <w:rFonts w:asciiTheme="minorHAnsi" w:hAnsiTheme="minorHAnsi" w:cstheme="minorHAnsi"/>
          <w:b/>
          <w:sz w:val="24"/>
          <w:szCs w:val="24"/>
        </w:rPr>
        <w:t>2019 – 2023 Clean Air Council Declaration:</w:t>
      </w:r>
      <w:r w:rsidRPr="00AF32CD">
        <w:rPr>
          <w:rFonts w:asciiTheme="minorHAnsi" w:hAnsiTheme="minorHAnsi" w:cstheme="minorHAnsi"/>
          <w:sz w:val="24"/>
          <w:szCs w:val="24"/>
        </w:rPr>
        <w:t xml:space="preserve"> CAC Declarations are council term declarations. As such, with the new council term coming up in 2019 we will need to develop a new CAC Declaration for the coming term. </w:t>
      </w:r>
      <w:proofErr w:type="gramStart"/>
      <w:r w:rsidRPr="00AF32CD">
        <w:rPr>
          <w:rFonts w:asciiTheme="minorHAnsi" w:hAnsiTheme="minorHAnsi" w:cstheme="minorHAnsi"/>
          <w:sz w:val="24"/>
          <w:szCs w:val="24"/>
        </w:rPr>
        <w:t>There will be an upcoming strategic planning workshop that will focus on this.</w:t>
      </w:r>
      <w:proofErr w:type="gramEnd"/>
      <w:r w:rsidRPr="00AF32CD">
        <w:rPr>
          <w:rFonts w:asciiTheme="minorHAnsi" w:hAnsiTheme="minorHAnsi" w:cstheme="minorHAnsi"/>
          <w:sz w:val="24"/>
          <w:szCs w:val="24"/>
        </w:rPr>
        <w:t xml:space="preserve">  </w:t>
      </w:r>
    </w:p>
    <w:p w:rsidR="009307D4" w:rsidRPr="00AF32CD" w:rsidRDefault="009307D4" w:rsidP="005576BB">
      <w:pPr>
        <w:rPr>
          <w:rFonts w:asciiTheme="minorHAnsi" w:hAnsiTheme="minorHAnsi" w:cstheme="minorHAnsi"/>
          <w:sz w:val="24"/>
          <w:szCs w:val="24"/>
        </w:rPr>
      </w:pPr>
      <w:r w:rsidRPr="00AF32CD">
        <w:rPr>
          <w:rFonts w:asciiTheme="minorHAnsi" w:hAnsiTheme="minorHAnsi" w:cstheme="minorHAnsi"/>
          <w:sz w:val="24"/>
          <w:szCs w:val="24"/>
        </w:rPr>
        <w:t xml:space="preserve">Related to the </w:t>
      </w:r>
      <w:proofErr w:type="spellStart"/>
      <w:r w:rsidRPr="00AF32CD">
        <w:rPr>
          <w:rFonts w:asciiTheme="minorHAnsi" w:hAnsiTheme="minorHAnsi" w:cstheme="minorHAnsi"/>
          <w:sz w:val="24"/>
          <w:szCs w:val="24"/>
        </w:rPr>
        <w:t>workplan</w:t>
      </w:r>
      <w:proofErr w:type="spellEnd"/>
      <w:r w:rsidRPr="00AF32CD">
        <w:rPr>
          <w:rFonts w:asciiTheme="minorHAnsi" w:hAnsiTheme="minorHAnsi" w:cstheme="minorHAnsi"/>
          <w:sz w:val="24"/>
          <w:szCs w:val="24"/>
        </w:rPr>
        <w:t xml:space="preserve"> for the present Declaration </w:t>
      </w:r>
      <w:r w:rsidR="00AF32CD" w:rsidRPr="00AF32CD">
        <w:rPr>
          <w:rFonts w:asciiTheme="minorHAnsi" w:hAnsiTheme="minorHAnsi" w:cstheme="minorHAnsi"/>
          <w:sz w:val="24"/>
          <w:szCs w:val="24"/>
        </w:rPr>
        <w:t xml:space="preserve">here are the main actions based on feedback from CAC members. </w:t>
      </w:r>
    </w:p>
    <w:p w:rsidR="00B210C2" w:rsidRPr="00AF32CD" w:rsidRDefault="00B210C2" w:rsidP="005576BB">
      <w:pPr>
        <w:rPr>
          <w:rFonts w:asciiTheme="minorHAnsi" w:hAnsiTheme="minorHAnsi" w:cstheme="minorHAnsi"/>
          <w:b/>
          <w:sz w:val="24"/>
          <w:szCs w:val="24"/>
        </w:rPr>
      </w:pPr>
      <w:r w:rsidRPr="00AF32CD">
        <w:rPr>
          <w:rFonts w:asciiTheme="minorHAnsi" w:hAnsiTheme="minorHAnsi" w:cstheme="minorHAnsi"/>
          <w:b/>
          <w:sz w:val="24"/>
          <w:szCs w:val="24"/>
        </w:rPr>
        <w:t>D#1 Energy Efficiency &amp; Conservation</w:t>
      </w:r>
    </w:p>
    <w:p w:rsidR="00B210C2" w:rsidRPr="005576BB" w:rsidRDefault="00B210C2" w:rsidP="005576BB">
      <w:pPr>
        <w:pStyle w:val="ListParagraph"/>
        <w:numPr>
          <w:ilvl w:val="0"/>
          <w:numId w:val="1"/>
        </w:numPr>
        <w:spacing w:after="0"/>
        <w:rPr>
          <w:rFonts w:asciiTheme="minorHAnsi" w:hAnsiTheme="minorHAnsi" w:cstheme="minorHAnsi"/>
          <w:sz w:val="24"/>
          <w:szCs w:val="24"/>
        </w:rPr>
      </w:pPr>
      <w:proofErr w:type="gramStart"/>
      <w:r w:rsidRPr="005576BB">
        <w:rPr>
          <w:rFonts w:asciiTheme="minorHAnsi" w:hAnsiTheme="minorHAnsi" w:cstheme="minorHAnsi"/>
          <w:sz w:val="24"/>
          <w:szCs w:val="24"/>
          <w:u w:val="single"/>
        </w:rPr>
        <w:t>2019</w:t>
      </w:r>
      <w:proofErr w:type="gramEnd"/>
      <w:r w:rsidRPr="005576BB">
        <w:rPr>
          <w:rFonts w:asciiTheme="minorHAnsi" w:hAnsiTheme="minorHAnsi" w:cstheme="minorHAnsi"/>
          <w:sz w:val="24"/>
          <w:szCs w:val="24"/>
          <w:u w:val="single"/>
        </w:rPr>
        <w:t xml:space="preserve"> Conservation</w:t>
      </w:r>
      <w:r w:rsidR="00E6523D" w:rsidRPr="005576BB">
        <w:rPr>
          <w:rFonts w:asciiTheme="minorHAnsi" w:hAnsiTheme="minorHAnsi" w:cstheme="minorHAnsi"/>
          <w:sz w:val="24"/>
          <w:szCs w:val="24"/>
          <w:u w:val="single"/>
        </w:rPr>
        <w:t xml:space="preserve"> Demand Management</w:t>
      </w:r>
      <w:r w:rsidRPr="005576BB">
        <w:rPr>
          <w:rFonts w:asciiTheme="minorHAnsi" w:hAnsiTheme="minorHAnsi" w:cstheme="minorHAnsi"/>
          <w:sz w:val="24"/>
          <w:szCs w:val="24"/>
          <w:u w:val="single"/>
        </w:rPr>
        <w:t xml:space="preserve"> </w:t>
      </w:r>
      <w:r w:rsidRPr="005576BB">
        <w:rPr>
          <w:rFonts w:asciiTheme="minorHAnsi" w:hAnsiTheme="minorHAnsi" w:cstheme="minorHAnsi"/>
          <w:noProof/>
          <w:sz w:val="24"/>
          <w:szCs w:val="24"/>
          <w:u w:val="single"/>
        </w:rPr>
        <w:t>Plans</w:t>
      </w:r>
      <w:r w:rsidR="00E6523D" w:rsidRPr="005576BB">
        <w:rPr>
          <w:rFonts w:asciiTheme="minorHAnsi" w:hAnsiTheme="minorHAnsi" w:cstheme="minorHAnsi"/>
          <w:noProof/>
          <w:sz w:val="24"/>
          <w:szCs w:val="24"/>
          <w:u w:val="single"/>
        </w:rPr>
        <w:t xml:space="preserve"> (CDM)</w:t>
      </w:r>
      <w:r w:rsidR="002953D9" w:rsidRPr="005576BB">
        <w:rPr>
          <w:rFonts w:asciiTheme="minorHAnsi" w:hAnsiTheme="minorHAnsi" w:cstheme="minorHAnsi"/>
          <w:noProof/>
          <w:sz w:val="24"/>
          <w:szCs w:val="24"/>
          <w:u w:val="single"/>
        </w:rPr>
        <w:t>:</w:t>
      </w:r>
      <w:r w:rsidRPr="005576BB">
        <w:rPr>
          <w:rFonts w:asciiTheme="minorHAnsi" w:hAnsiTheme="minorHAnsi" w:cstheme="minorHAnsi"/>
          <w:sz w:val="24"/>
          <w:szCs w:val="24"/>
        </w:rPr>
        <w:t xml:space="preserve"> are </w:t>
      </w:r>
      <w:r w:rsidR="00AF32CD">
        <w:rPr>
          <w:rFonts w:asciiTheme="minorHAnsi" w:hAnsiTheme="minorHAnsi" w:cstheme="minorHAnsi"/>
          <w:sz w:val="24"/>
          <w:szCs w:val="24"/>
        </w:rPr>
        <w:t>to be developed by end of</w:t>
      </w:r>
      <w:r w:rsidR="00F656E4">
        <w:rPr>
          <w:rFonts w:asciiTheme="minorHAnsi" w:hAnsiTheme="minorHAnsi" w:cstheme="minorHAnsi"/>
          <w:sz w:val="24"/>
          <w:szCs w:val="24"/>
        </w:rPr>
        <w:t xml:space="preserve"> June</w:t>
      </w:r>
      <w:r w:rsidRPr="005576BB">
        <w:rPr>
          <w:rFonts w:asciiTheme="minorHAnsi" w:hAnsiTheme="minorHAnsi" w:cstheme="minorHAnsi"/>
          <w:sz w:val="24"/>
          <w:szCs w:val="24"/>
        </w:rPr>
        <w:t xml:space="preserve"> 2019</w:t>
      </w:r>
      <w:r w:rsidR="002953D9" w:rsidRPr="005576BB">
        <w:rPr>
          <w:rFonts w:asciiTheme="minorHAnsi" w:hAnsiTheme="minorHAnsi" w:cstheme="minorHAnsi"/>
          <w:sz w:val="24"/>
          <w:szCs w:val="24"/>
        </w:rPr>
        <w:t>. The</w:t>
      </w:r>
      <w:r w:rsidRPr="005576BB">
        <w:rPr>
          <w:rFonts w:asciiTheme="minorHAnsi" w:hAnsiTheme="minorHAnsi" w:cstheme="minorHAnsi"/>
          <w:sz w:val="24"/>
          <w:szCs w:val="24"/>
        </w:rPr>
        <w:t xml:space="preserve"> focus </w:t>
      </w:r>
      <w:r w:rsidR="00AF32CD">
        <w:rPr>
          <w:rFonts w:asciiTheme="minorHAnsi" w:hAnsiTheme="minorHAnsi" w:cstheme="minorHAnsi"/>
          <w:sz w:val="24"/>
          <w:szCs w:val="24"/>
        </w:rPr>
        <w:t xml:space="preserve">for the Corporate Energy Managers Community of Practice will be on facilitating municipal energy managers to share plans and efforts on the development of those plans in order to identify opportunities to increase the ambitions </w:t>
      </w:r>
      <w:proofErr w:type="gramStart"/>
      <w:r w:rsidR="00AF32CD">
        <w:rPr>
          <w:rFonts w:asciiTheme="minorHAnsi" w:hAnsiTheme="minorHAnsi" w:cstheme="minorHAnsi"/>
          <w:sz w:val="24"/>
          <w:szCs w:val="24"/>
        </w:rPr>
        <w:t>and</w:t>
      </w:r>
      <w:proofErr w:type="gramEnd"/>
      <w:r w:rsidR="00AF32CD">
        <w:rPr>
          <w:rFonts w:asciiTheme="minorHAnsi" w:hAnsiTheme="minorHAnsi" w:cstheme="minorHAnsi"/>
          <w:sz w:val="24"/>
          <w:szCs w:val="24"/>
        </w:rPr>
        <w:t xml:space="preserve"> effectiveness of those Plans. </w:t>
      </w:r>
    </w:p>
    <w:p w:rsidR="00184D19" w:rsidRPr="005576BB" w:rsidRDefault="00184D19" w:rsidP="005576BB">
      <w:pPr>
        <w:pStyle w:val="ListParagraph"/>
        <w:spacing w:after="0"/>
        <w:rPr>
          <w:rFonts w:asciiTheme="minorHAnsi" w:hAnsiTheme="minorHAnsi" w:cstheme="minorHAnsi"/>
          <w:sz w:val="24"/>
          <w:szCs w:val="24"/>
        </w:rPr>
      </w:pPr>
    </w:p>
    <w:p w:rsidR="002953D9" w:rsidRPr="005576BB" w:rsidRDefault="002953D9" w:rsidP="005576BB">
      <w:pPr>
        <w:pStyle w:val="ListParagraph"/>
        <w:numPr>
          <w:ilvl w:val="0"/>
          <w:numId w:val="1"/>
        </w:numPr>
        <w:rPr>
          <w:rFonts w:asciiTheme="minorHAnsi" w:hAnsiTheme="minorHAnsi" w:cstheme="minorHAnsi"/>
          <w:sz w:val="24"/>
          <w:szCs w:val="24"/>
        </w:rPr>
      </w:pPr>
      <w:r w:rsidRPr="005576BB">
        <w:rPr>
          <w:rFonts w:asciiTheme="minorHAnsi" w:hAnsiTheme="minorHAnsi" w:cstheme="minorHAnsi"/>
          <w:sz w:val="24"/>
          <w:szCs w:val="24"/>
          <w:u w:val="single"/>
        </w:rPr>
        <w:t>Green Procurement:</w:t>
      </w:r>
      <w:r w:rsidR="00AF32CD">
        <w:rPr>
          <w:rFonts w:asciiTheme="minorHAnsi" w:hAnsiTheme="minorHAnsi" w:cstheme="minorHAnsi"/>
          <w:sz w:val="24"/>
          <w:szCs w:val="24"/>
        </w:rPr>
        <w:t xml:space="preserve"> focus will be to get CAC member municipalities to share </w:t>
      </w:r>
      <w:r w:rsidRPr="005576BB">
        <w:rPr>
          <w:rFonts w:asciiTheme="minorHAnsi" w:hAnsiTheme="minorHAnsi" w:cstheme="minorHAnsi"/>
          <w:sz w:val="24"/>
          <w:szCs w:val="24"/>
        </w:rPr>
        <w:t>green procurement actions</w:t>
      </w:r>
      <w:r w:rsidR="00AF32CD">
        <w:rPr>
          <w:rFonts w:asciiTheme="minorHAnsi" w:hAnsiTheme="minorHAnsi" w:cstheme="minorHAnsi"/>
          <w:sz w:val="24"/>
          <w:szCs w:val="24"/>
        </w:rPr>
        <w:t xml:space="preserve"> they have undertaken since 2012. This </w:t>
      </w:r>
      <w:proofErr w:type="gramStart"/>
      <w:r w:rsidR="00AF32CD">
        <w:rPr>
          <w:rFonts w:asciiTheme="minorHAnsi" w:hAnsiTheme="minorHAnsi" w:cstheme="minorHAnsi"/>
          <w:sz w:val="24"/>
          <w:szCs w:val="24"/>
        </w:rPr>
        <w:t>will be undertaken</w:t>
      </w:r>
      <w:proofErr w:type="gramEnd"/>
      <w:r w:rsidR="00AF32CD">
        <w:rPr>
          <w:rFonts w:asciiTheme="minorHAnsi" w:hAnsiTheme="minorHAnsi" w:cstheme="minorHAnsi"/>
          <w:sz w:val="24"/>
          <w:szCs w:val="24"/>
        </w:rPr>
        <w:t xml:space="preserve"> via webinars, a scan and a green procurement workshop in the fall of 2018. </w:t>
      </w:r>
    </w:p>
    <w:p w:rsidR="00184D19" w:rsidRPr="005576BB" w:rsidRDefault="00184D19" w:rsidP="005576BB">
      <w:pPr>
        <w:pStyle w:val="ListParagraph"/>
        <w:ind w:left="1440"/>
        <w:rPr>
          <w:rFonts w:asciiTheme="minorHAnsi" w:hAnsiTheme="minorHAnsi" w:cstheme="minorHAnsi"/>
          <w:sz w:val="24"/>
          <w:szCs w:val="24"/>
        </w:rPr>
      </w:pPr>
    </w:p>
    <w:p w:rsidR="00D51937" w:rsidRPr="005576BB" w:rsidRDefault="005A2663" w:rsidP="005576BB">
      <w:pPr>
        <w:pStyle w:val="ListParagraph"/>
        <w:numPr>
          <w:ilvl w:val="0"/>
          <w:numId w:val="1"/>
        </w:numPr>
        <w:rPr>
          <w:rFonts w:asciiTheme="minorHAnsi" w:hAnsiTheme="minorHAnsi" w:cstheme="minorHAnsi"/>
          <w:sz w:val="24"/>
          <w:szCs w:val="24"/>
        </w:rPr>
      </w:pPr>
      <w:r w:rsidRPr="005576BB">
        <w:rPr>
          <w:rFonts w:asciiTheme="minorHAnsi" w:hAnsiTheme="minorHAnsi" w:cstheme="minorHAnsi"/>
          <w:sz w:val="24"/>
          <w:szCs w:val="24"/>
          <w:u w:val="single"/>
        </w:rPr>
        <w:t xml:space="preserve">Green Fleets: </w:t>
      </w:r>
      <w:r w:rsidR="00E6523D" w:rsidRPr="005576BB">
        <w:rPr>
          <w:rFonts w:asciiTheme="minorHAnsi" w:hAnsiTheme="minorHAnsi" w:cstheme="minorHAnsi"/>
          <w:sz w:val="24"/>
          <w:szCs w:val="24"/>
        </w:rPr>
        <w:t>f</w:t>
      </w:r>
      <w:r w:rsidRPr="005576BB">
        <w:rPr>
          <w:rFonts w:asciiTheme="minorHAnsi" w:hAnsiTheme="minorHAnsi" w:cstheme="minorHAnsi"/>
          <w:sz w:val="24"/>
          <w:szCs w:val="24"/>
        </w:rPr>
        <w:t xml:space="preserve">ocus on advancing Electrical Vehicle (EV) uptake, </w:t>
      </w:r>
      <w:r w:rsidR="00E6523D" w:rsidRPr="005576BB">
        <w:rPr>
          <w:rFonts w:asciiTheme="minorHAnsi" w:hAnsiTheme="minorHAnsi" w:cstheme="minorHAnsi"/>
          <w:sz w:val="24"/>
          <w:szCs w:val="24"/>
        </w:rPr>
        <w:t xml:space="preserve">vehicle </w:t>
      </w:r>
      <w:proofErr w:type="gramStart"/>
      <w:r w:rsidRPr="005576BB">
        <w:rPr>
          <w:rFonts w:asciiTheme="minorHAnsi" w:hAnsiTheme="minorHAnsi" w:cstheme="minorHAnsi"/>
          <w:sz w:val="24"/>
          <w:szCs w:val="24"/>
        </w:rPr>
        <w:t>right-sizing</w:t>
      </w:r>
      <w:proofErr w:type="gramEnd"/>
      <w:r w:rsidRPr="005576BB">
        <w:rPr>
          <w:rFonts w:asciiTheme="minorHAnsi" w:hAnsiTheme="minorHAnsi" w:cstheme="minorHAnsi"/>
          <w:sz w:val="24"/>
          <w:szCs w:val="24"/>
        </w:rPr>
        <w:t>, and advancing mon</w:t>
      </w:r>
      <w:r w:rsidR="00E6523D" w:rsidRPr="005576BB">
        <w:rPr>
          <w:rFonts w:asciiTheme="minorHAnsi" w:hAnsiTheme="minorHAnsi" w:cstheme="minorHAnsi"/>
          <w:sz w:val="24"/>
          <w:szCs w:val="24"/>
        </w:rPr>
        <w:t>itoring and reporting fuel-use—</w:t>
      </w:r>
      <w:r w:rsidRPr="005576BB">
        <w:rPr>
          <w:rFonts w:asciiTheme="minorHAnsi" w:hAnsiTheme="minorHAnsi" w:cstheme="minorHAnsi"/>
          <w:sz w:val="24"/>
          <w:szCs w:val="24"/>
        </w:rPr>
        <w:t>essential</w:t>
      </w:r>
      <w:r w:rsidR="00E6523D" w:rsidRPr="005576BB">
        <w:rPr>
          <w:rFonts w:asciiTheme="minorHAnsi" w:hAnsiTheme="minorHAnsi" w:cstheme="minorHAnsi"/>
          <w:sz w:val="24"/>
          <w:szCs w:val="24"/>
        </w:rPr>
        <w:t xml:space="preserve"> in</w:t>
      </w:r>
      <w:r w:rsidRPr="005576BB">
        <w:rPr>
          <w:rFonts w:asciiTheme="minorHAnsi" w:hAnsiTheme="minorHAnsi" w:cstheme="minorHAnsi"/>
          <w:sz w:val="24"/>
          <w:szCs w:val="24"/>
        </w:rPr>
        <w:t xml:space="preserve"> maintain</w:t>
      </w:r>
      <w:r w:rsidR="00E6523D" w:rsidRPr="005576BB">
        <w:rPr>
          <w:rFonts w:asciiTheme="minorHAnsi" w:hAnsiTheme="minorHAnsi" w:cstheme="minorHAnsi"/>
          <w:sz w:val="24"/>
          <w:szCs w:val="24"/>
        </w:rPr>
        <w:t>ing</w:t>
      </w:r>
      <w:r w:rsidRPr="005576BB">
        <w:rPr>
          <w:rFonts w:asciiTheme="minorHAnsi" w:hAnsiTheme="minorHAnsi" w:cstheme="minorHAnsi"/>
          <w:sz w:val="24"/>
          <w:szCs w:val="24"/>
        </w:rPr>
        <w:t xml:space="preserve"> momentum for further </w:t>
      </w:r>
      <w:r w:rsidR="00E6523D" w:rsidRPr="005576BB">
        <w:rPr>
          <w:rFonts w:asciiTheme="minorHAnsi" w:hAnsiTheme="minorHAnsi" w:cstheme="minorHAnsi"/>
          <w:sz w:val="24"/>
          <w:szCs w:val="24"/>
        </w:rPr>
        <w:t xml:space="preserve">green fleets </w:t>
      </w:r>
      <w:r w:rsidRPr="005576BB">
        <w:rPr>
          <w:rFonts w:asciiTheme="minorHAnsi" w:hAnsiTheme="minorHAnsi" w:cstheme="minorHAnsi"/>
          <w:sz w:val="24"/>
          <w:szCs w:val="24"/>
        </w:rPr>
        <w:t>advancement</w:t>
      </w:r>
      <w:r w:rsidR="006023CB" w:rsidRPr="005576BB">
        <w:rPr>
          <w:rFonts w:asciiTheme="minorHAnsi" w:hAnsiTheme="minorHAnsi" w:cstheme="minorHAnsi"/>
          <w:sz w:val="24"/>
          <w:szCs w:val="24"/>
        </w:rPr>
        <w:t xml:space="preserve">. </w:t>
      </w:r>
    </w:p>
    <w:p w:rsidR="009E2F7A" w:rsidRPr="005576BB" w:rsidRDefault="00AF32CD" w:rsidP="005576BB">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H</w:t>
      </w:r>
      <w:r w:rsidR="009E2F7A" w:rsidRPr="005576BB">
        <w:rPr>
          <w:rFonts w:asciiTheme="minorHAnsi" w:hAnsiTheme="minorHAnsi" w:cstheme="minorHAnsi"/>
          <w:sz w:val="24"/>
          <w:szCs w:val="24"/>
        </w:rPr>
        <w:t xml:space="preserve">ave been experiencing </w:t>
      </w:r>
      <w:r w:rsidR="00E6523D" w:rsidRPr="005576BB">
        <w:rPr>
          <w:rFonts w:asciiTheme="minorHAnsi" w:hAnsiTheme="minorHAnsi" w:cstheme="minorHAnsi"/>
          <w:sz w:val="24"/>
          <w:szCs w:val="24"/>
        </w:rPr>
        <w:t>internal conflicts between</w:t>
      </w:r>
      <w:r w:rsidR="009E2F7A" w:rsidRPr="005576BB">
        <w:rPr>
          <w:rFonts w:asciiTheme="minorHAnsi" w:hAnsiTheme="minorHAnsi" w:cstheme="minorHAnsi"/>
          <w:sz w:val="24"/>
          <w:szCs w:val="24"/>
        </w:rPr>
        <w:t xml:space="preserve"> </w:t>
      </w:r>
      <w:proofErr w:type="gramStart"/>
      <w:r w:rsidR="009E2F7A" w:rsidRPr="005576BB">
        <w:rPr>
          <w:rFonts w:asciiTheme="minorHAnsi" w:hAnsiTheme="minorHAnsi" w:cstheme="minorHAnsi"/>
          <w:sz w:val="24"/>
          <w:szCs w:val="24"/>
        </w:rPr>
        <w:t>diesel</w:t>
      </w:r>
      <w:proofErr w:type="gramEnd"/>
      <w:r w:rsidR="009E2F7A" w:rsidRPr="005576BB">
        <w:rPr>
          <w:rFonts w:asciiTheme="minorHAnsi" w:hAnsiTheme="minorHAnsi" w:cstheme="minorHAnsi"/>
          <w:sz w:val="24"/>
          <w:szCs w:val="24"/>
        </w:rPr>
        <w:t xml:space="preserve"> vs. gas pick-up trucks.</w:t>
      </w:r>
    </w:p>
    <w:p w:rsidR="009E2F7A" w:rsidRPr="005576BB" w:rsidRDefault="004A61D8" w:rsidP="005576BB">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M</w:t>
      </w:r>
      <w:r w:rsidR="00E6523D" w:rsidRPr="005576BB">
        <w:rPr>
          <w:rFonts w:asciiTheme="minorHAnsi" w:hAnsiTheme="minorHAnsi" w:cstheme="minorHAnsi"/>
          <w:sz w:val="24"/>
          <w:szCs w:val="24"/>
        </w:rPr>
        <w:t>unicipalities</w:t>
      </w:r>
      <w:r w:rsidR="006B1D27" w:rsidRPr="005576BB">
        <w:rPr>
          <w:rFonts w:asciiTheme="minorHAnsi" w:hAnsiTheme="minorHAnsi" w:cstheme="minorHAnsi"/>
          <w:sz w:val="24"/>
          <w:szCs w:val="24"/>
        </w:rPr>
        <w:t xml:space="preserve"> </w:t>
      </w:r>
      <w:r w:rsidR="009E2F7A" w:rsidRPr="005576BB">
        <w:rPr>
          <w:rFonts w:asciiTheme="minorHAnsi" w:hAnsiTheme="minorHAnsi" w:cstheme="minorHAnsi"/>
          <w:sz w:val="24"/>
          <w:szCs w:val="24"/>
        </w:rPr>
        <w:t>are still experiencing issues</w:t>
      </w:r>
      <w:r w:rsidR="00E6523D" w:rsidRPr="005576BB">
        <w:rPr>
          <w:rFonts w:asciiTheme="minorHAnsi" w:hAnsiTheme="minorHAnsi" w:cstheme="minorHAnsi"/>
          <w:sz w:val="24"/>
          <w:szCs w:val="24"/>
        </w:rPr>
        <w:t xml:space="preserve"> relating to fuel </w:t>
      </w:r>
      <w:proofErr w:type="gramStart"/>
      <w:r w:rsidR="00E6523D" w:rsidRPr="005576BB">
        <w:rPr>
          <w:rFonts w:asciiTheme="minorHAnsi" w:hAnsiTheme="minorHAnsi" w:cstheme="minorHAnsi"/>
          <w:sz w:val="24"/>
          <w:szCs w:val="24"/>
        </w:rPr>
        <w:t>right-sizing—</w:t>
      </w:r>
      <w:proofErr w:type="gramEnd"/>
      <w:r w:rsidR="009E2F7A" w:rsidRPr="005576BB">
        <w:rPr>
          <w:rFonts w:asciiTheme="minorHAnsi" w:hAnsiTheme="minorHAnsi" w:cstheme="minorHAnsi"/>
          <w:sz w:val="24"/>
          <w:szCs w:val="24"/>
        </w:rPr>
        <w:t>staff</w:t>
      </w:r>
      <w:r w:rsidR="00E6523D" w:rsidRPr="005576BB">
        <w:rPr>
          <w:rFonts w:asciiTheme="minorHAnsi" w:hAnsiTheme="minorHAnsi" w:cstheme="minorHAnsi"/>
          <w:sz w:val="24"/>
          <w:szCs w:val="24"/>
        </w:rPr>
        <w:t xml:space="preserve"> </w:t>
      </w:r>
      <w:r w:rsidR="00E6523D" w:rsidRPr="005576BB">
        <w:rPr>
          <w:rFonts w:asciiTheme="minorHAnsi" w:hAnsiTheme="minorHAnsi" w:cstheme="minorHAnsi"/>
          <w:noProof/>
          <w:sz w:val="24"/>
          <w:szCs w:val="24"/>
        </w:rPr>
        <w:t>is</w:t>
      </w:r>
      <w:r w:rsidR="009E2F7A" w:rsidRPr="005576BB">
        <w:rPr>
          <w:rFonts w:asciiTheme="minorHAnsi" w:hAnsiTheme="minorHAnsi" w:cstheme="minorHAnsi"/>
          <w:sz w:val="24"/>
          <w:szCs w:val="24"/>
        </w:rPr>
        <w:t xml:space="preserve"> still interested in pick-up trucks.</w:t>
      </w:r>
    </w:p>
    <w:p w:rsidR="000276EA" w:rsidRDefault="00AF32CD" w:rsidP="000276EA">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Interested </w:t>
      </w:r>
      <w:r w:rsidR="009E2F7A" w:rsidRPr="005576BB">
        <w:rPr>
          <w:rFonts w:asciiTheme="minorHAnsi" w:hAnsiTheme="minorHAnsi" w:cstheme="minorHAnsi"/>
          <w:sz w:val="24"/>
          <w:szCs w:val="24"/>
        </w:rPr>
        <w:t>in esta</w:t>
      </w:r>
      <w:r w:rsidR="00E6523D" w:rsidRPr="005576BB">
        <w:rPr>
          <w:rFonts w:asciiTheme="minorHAnsi" w:hAnsiTheme="minorHAnsi" w:cstheme="minorHAnsi"/>
          <w:sz w:val="24"/>
          <w:szCs w:val="24"/>
        </w:rPr>
        <w:t>blishing an integrated policy that integrates</w:t>
      </w:r>
      <w:r w:rsidR="009E2F7A" w:rsidRPr="005576BB">
        <w:rPr>
          <w:rFonts w:asciiTheme="minorHAnsi" w:hAnsiTheme="minorHAnsi" w:cstheme="minorHAnsi"/>
          <w:sz w:val="24"/>
          <w:szCs w:val="24"/>
        </w:rPr>
        <w:t xml:space="preserve"> alternate fuel </w:t>
      </w:r>
      <w:r w:rsidR="00E6523D" w:rsidRPr="005576BB">
        <w:rPr>
          <w:rFonts w:asciiTheme="minorHAnsi" w:hAnsiTheme="minorHAnsi" w:cstheme="minorHAnsi"/>
          <w:sz w:val="24"/>
          <w:szCs w:val="24"/>
        </w:rPr>
        <w:t xml:space="preserve">opportunities </w:t>
      </w:r>
      <w:r w:rsidR="009E2F7A" w:rsidRPr="005576BB">
        <w:rPr>
          <w:rFonts w:asciiTheme="minorHAnsi" w:hAnsiTheme="minorHAnsi" w:cstheme="minorHAnsi"/>
          <w:sz w:val="24"/>
          <w:szCs w:val="24"/>
        </w:rPr>
        <w:t>for businesses</w:t>
      </w:r>
      <w:r w:rsidR="00E6523D" w:rsidRPr="005576BB">
        <w:rPr>
          <w:rFonts w:asciiTheme="minorHAnsi" w:hAnsiTheme="minorHAnsi" w:cstheme="minorHAnsi"/>
          <w:sz w:val="24"/>
          <w:szCs w:val="24"/>
        </w:rPr>
        <w:t xml:space="preserve"> within their community (this policy would translate </w:t>
      </w:r>
      <w:r w:rsidR="00E6523D" w:rsidRPr="005576BB">
        <w:rPr>
          <w:rFonts w:asciiTheme="minorHAnsi" w:hAnsiTheme="minorHAnsi" w:cstheme="minorHAnsi"/>
          <w:sz w:val="24"/>
          <w:szCs w:val="24"/>
        </w:rPr>
        <w:lastRenderedPageBreak/>
        <w:t>to both the</w:t>
      </w:r>
      <w:r w:rsidR="009E2F7A" w:rsidRPr="005576BB">
        <w:rPr>
          <w:rFonts w:asciiTheme="minorHAnsi" w:hAnsiTheme="minorHAnsi" w:cstheme="minorHAnsi"/>
          <w:sz w:val="24"/>
          <w:szCs w:val="24"/>
        </w:rPr>
        <w:t xml:space="preserve"> </w:t>
      </w:r>
      <w:r w:rsidR="009E2F7A" w:rsidRPr="005576BB">
        <w:rPr>
          <w:rFonts w:asciiTheme="minorHAnsi" w:hAnsiTheme="minorHAnsi" w:cstheme="minorHAnsi"/>
          <w:noProof/>
          <w:sz w:val="24"/>
          <w:szCs w:val="24"/>
        </w:rPr>
        <w:t>community</w:t>
      </w:r>
      <w:r w:rsidR="00E6523D" w:rsidRPr="005576BB">
        <w:rPr>
          <w:rFonts w:asciiTheme="minorHAnsi" w:hAnsiTheme="minorHAnsi" w:cstheme="minorHAnsi"/>
          <w:sz w:val="24"/>
          <w:szCs w:val="24"/>
        </w:rPr>
        <w:t xml:space="preserve"> and corporate energy scope)</w:t>
      </w:r>
      <w:r w:rsidR="009E2F7A" w:rsidRPr="005576BB">
        <w:rPr>
          <w:rFonts w:asciiTheme="minorHAnsi" w:hAnsiTheme="minorHAnsi" w:cstheme="minorHAnsi"/>
          <w:sz w:val="24"/>
          <w:szCs w:val="24"/>
        </w:rPr>
        <w:t xml:space="preserve">. </w:t>
      </w:r>
      <w:r w:rsidR="00094373" w:rsidRPr="005576BB">
        <w:rPr>
          <w:rFonts w:asciiTheme="minorHAnsi" w:hAnsiTheme="minorHAnsi" w:cstheme="minorHAnsi"/>
          <w:sz w:val="24"/>
          <w:szCs w:val="24"/>
        </w:rPr>
        <w:t xml:space="preserve">They would also like to see if municipalities research their staff in order to take into </w:t>
      </w:r>
      <w:proofErr w:type="gramStart"/>
      <w:r w:rsidR="00094373" w:rsidRPr="005576BB">
        <w:rPr>
          <w:rFonts w:asciiTheme="minorHAnsi" w:hAnsiTheme="minorHAnsi" w:cstheme="minorHAnsi"/>
          <w:sz w:val="24"/>
          <w:szCs w:val="24"/>
        </w:rPr>
        <w:t>account which</w:t>
      </w:r>
      <w:proofErr w:type="gramEnd"/>
      <w:r w:rsidR="00094373" w:rsidRPr="005576BB">
        <w:rPr>
          <w:rFonts w:asciiTheme="minorHAnsi" w:hAnsiTheme="minorHAnsi" w:cstheme="minorHAnsi"/>
          <w:sz w:val="24"/>
          <w:szCs w:val="24"/>
        </w:rPr>
        <w:t xml:space="preserve"> parameters </w:t>
      </w:r>
      <w:r w:rsidR="00E6523D" w:rsidRPr="005576BB">
        <w:rPr>
          <w:rFonts w:asciiTheme="minorHAnsi" w:hAnsiTheme="minorHAnsi" w:cstheme="minorHAnsi"/>
          <w:sz w:val="24"/>
          <w:szCs w:val="24"/>
        </w:rPr>
        <w:t xml:space="preserve">would work best with EV models, such </w:t>
      </w:r>
      <w:r w:rsidR="00E6523D" w:rsidRPr="005576BB">
        <w:rPr>
          <w:rFonts w:asciiTheme="minorHAnsi" w:hAnsiTheme="minorHAnsi" w:cstheme="minorHAnsi"/>
          <w:noProof/>
          <w:sz w:val="24"/>
          <w:szCs w:val="24"/>
        </w:rPr>
        <w:t>as</w:t>
      </w:r>
      <w:r w:rsidR="00E6523D" w:rsidRPr="005576BB">
        <w:rPr>
          <w:rFonts w:asciiTheme="minorHAnsi" w:hAnsiTheme="minorHAnsi" w:cstheme="minorHAnsi"/>
          <w:sz w:val="24"/>
          <w:szCs w:val="24"/>
        </w:rPr>
        <w:t xml:space="preserve"> shifts and duration of shifts, and the distance needed to travel from home—this will ultimately determine which charging station to invest in.</w:t>
      </w:r>
    </w:p>
    <w:p w:rsidR="002953D9" w:rsidRPr="004A61D8" w:rsidRDefault="00D51937" w:rsidP="005576BB">
      <w:pPr>
        <w:rPr>
          <w:rFonts w:asciiTheme="minorHAnsi" w:hAnsiTheme="minorHAnsi" w:cstheme="minorHAnsi"/>
          <w:b/>
          <w:sz w:val="24"/>
          <w:szCs w:val="24"/>
        </w:rPr>
      </w:pPr>
      <w:r w:rsidRPr="004A61D8">
        <w:rPr>
          <w:rFonts w:asciiTheme="minorHAnsi" w:hAnsiTheme="minorHAnsi" w:cstheme="minorHAnsi"/>
          <w:b/>
          <w:sz w:val="24"/>
          <w:szCs w:val="24"/>
        </w:rPr>
        <w:t>D#2 Resilience</w:t>
      </w:r>
    </w:p>
    <w:p w:rsidR="00633FCA" w:rsidRDefault="00633FCA" w:rsidP="00633FCA">
      <w:pPr>
        <w:pStyle w:val="ListParagraph"/>
        <w:numPr>
          <w:ilvl w:val="0"/>
          <w:numId w:val="2"/>
        </w:numPr>
        <w:rPr>
          <w:rFonts w:asciiTheme="minorHAnsi" w:hAnsiTheme="minorHAnsi" w:cstheme="minorHAnsi"/>
          <w:sz w:val="24"/>
          <w:szCs w:val="24"/>
        </w:rPr>
      </w:pPr>
      <w:r w:rsidRPr="00633FCA">
        <w:rPr>
          <w:rFonts w:asciiTheme="minorHAnsi" w:hAnsiTheme="minorHAnsi" w:cstheme="minorHAnsi"/>
          <w:sz w:val="24"/>
          <w:szCs w:val="24"/>
        </w:rPr>
        <w:t>The CAC submission for the</w:t>
      </w:r>
      <w:r>
        <w:rPr>
          <w:rFonts w:asciiTheme="minorHAnsi" w:hAnsiTheme="minorHAnsi" w:cstheme="minorHAnsi"/>
          <w:sz w:val="24"/>
          <w:szCs w:val="24"/>
        </w:rPr>
        <w:t xml:space="preserve"> MOECC Climate Change Approach </w:t>
      </w:r>
      <w:proofErr w:type="gramStart"/>
      <w:r>
        <w:rPr>
          <w:rFonts w:asciiTheme="minorHAnsi" w:hAnsiTheme="minorHAnsi" w:cstheme="minorHAnsi"/>
          <w:sz w:val="24"/>
          <w:szCs w:val="24"/>
        </w:rPr>
        <w:t>has been submitted</w:t>
      </w:r>
      <w:proofErr w:type="gramEnd"/>
      <w:r>
        <w:rPr>
          <w:rFonts w:asciiTheme="minorHAnsi" w:hAnsiTheme="minorHAnsi" w:cstheme="minorHAnsi"/>
          <w:sz w:val="24"/>
          <w:szCs w:val="24"/>
        </w:rPr>
        <w:t xml:space="preserve"> and is available </w:t>
      </w:r>
      <w:hyperlink r:id="rId10" w:history="1">
        <w:r w:rsidRPr="00C755F3">
          <w:rPr>
            <w:rStyle w:val="Hyperlink"/>
            <w:rFonts w:asciiTheme="minorHAnsi" w:hAnsiTheme="minorHAnsi" w:cstheme="minorHAnsi"/>
            <w:sz w:val="24"/>
            <w:szCs w:val="24"/>
          </w:rPr>
          <w:t>he</w:t>
        </w:r>
        <w:r w:rsidRPr="00C755F3">
          <w:rPr>
            <w:rStyle w:val="Hyperlink"/>
            <w:rFonts w:asciiTheme="minorHAnsi" w:hAnsiTheme="minorHAnsi" w:cstheme="minorHAnsi"/>
            <w:sz w:val="24"/>
            <w:szCs w:val="24"/>
          </w:rPr>
          <w:t>r</w:t>
        </w:r>
        <w:r w:rsidRPr="00C755F3">
          <w:rPr>
            <w:rStyle w:val="Hyperlink"/>
            <w:rFonts w:asciiTheme="minorHAnsi" w:hAnsiTheme="minorHAnsi" w:cstheme="minorHAnsi"/>
            <w:sz w:val="24"/>
            <w:szCs w:val="24"/>
          </w:rPr>
          <w:t>e</w:t>
        </w:r>
      </w:hyperlink>
      <w:r>
        <w:rPr>
          <w:rFonts w:asciiTheme="minorHAnsi" w:hAnsiTheme="minorHAnsi" w:cstheme="minorHAnsi"/>
          <w:sz w:val="24"/>
          <w:szCs w:val="24"/>
        </w:rPr>
        <w:t xml:space="preserve">. </w:t>
      </w:r>
    </w:p>
    <w:p w:rsidR="00633FCA" w:rsidRDefault="00633FCA" w:rsidP="00633FCA">
      <w:pPr>
        <w:pStyle w:val="ListParagraph"/>
        <w:numPr>
          <w:ilvl w:val="0"/>
          <w:numId w:val="2"/>
        </w:numPr>
        <w:rPr>
          <w:rFonts w:asciiTheme="minorHAnsi" w:hAnsiTheme="minorHAnsi" w:cstheme="minorHAnsi"/>
          <w:sz w:val="24"/>
          <w:szCs w:val="24"/>
        </w:rPr>
      </w:pPr>
      <w:r w:rsidRPr="00633FCA">
        <w:rPr>
          <w:rFonts w:asciiTheme="minorHAnsi" w:hAnsiTheme="minorHAnsi" w:cstheme="minorHAnsi"/>
          <w:sz w:val="24"/>
          <w:szCs w:val="24"/>
        </w:rPr>
        <w:t xml:space="preserve">The proposal that </w:t>
      </w:r>
      <w:r w:rsidR="00D51937" w:rsidRPr="00633FCA">
        <w:rPr>
          <w:rFonts w:asciiTheme="minorHAnsi" w:hAnsiTheme="minorHAnsi" w:cstheme="minorHAnsi"/>
          <w:sz w:val="24"/>
          <w:szCs w:val="24"/>
        </w:rPr>
        <w:t xml:space="preserve">CAP </w:t>
      </w:r>
      <w:r w:rsidRPr="00633FCA">
        <w:rPr>
          <w:rFonts w:asciiTheme="minorHAnsi" w:hAnsiTheme="minorHAnsi" w:cstheme="minorHAnsi"/>
          <w:sz w:val="24"/>
          <w:szCs w:val="24"/>
        </w:rPr>
        <w:t xml:space="preserve">and OCC submitted </w:t>
      </w:r>
      <w:r w:rsidR="004A61D8">
        <w:rPr>
          <w:rFonts w:asciiTheme="minorHAnsi" w:hAnsiTheme="minorHAnsi" w:cstheme="minorHAnsi"/>
          <w:sz w:val="24"/>
          <w:szCs w:val="24"/>
        </w:rPr>
        <w:t xml:space="preserve">to FCM’s </w:t>
      </w:r>
      <w:r w:rsidRPr="00633FCA">
        <w:rPr>
          <w:rFonts w:asciiTheme="minorHAnsi" w:hAnsiTheme="minorHAnsi" w:cstheme="minorHAnsi"/>
          <w:sz w:val="24"/>
          <w:szCs w:val="24"/>
        </w:rPr>
        <w:t xml:space="preserve">MCIP Climate Adaptation Partners grant was unsuccessful. The proposal focused on the development of a Vulnerability Assessment Transferability Framework that would test out the ability of Vulnerability Assessments to be transferable between different jurisdictions, asking the questions of what is transferable, what isn’t and why? We will be looking for other opportunities to advance that work. If anyone has any questions related to this idea let Gaby know. </w:t>
      </w:r>
    </w:p>
    <w:p w:rsidR="00633FCA" w:rsidRDefault="00EB4BB8" w:rsidP="00633FCA">
      <w:pPr>
        <w:pStyle w:val="ListParagraph"/>
        <w:numPr>
          <w:ilvl w:val="0"/>
          <w:numId w:val="2"/>
        </w:numPr>
        <w:rPr>
          <w:rFonts w:asciiTheme="minorHAnsi" w:hAnsiTheme="minorHAnsi" w:cstheme="minorHAnsi"/>
          <w:sz w:val="24"/>
          <w:szCs w:val="24"/>
        </w:rPr>
      </w:pPr>
      <w:r w:rsidRPr="00633FCA">
        <w:rPr>
          <w:rFonts w:asciiTheme="minorHAnsi" w:hAnsiTheme="minorHAnsi" w:cstheme="minorHAnsi"/>
          <w:sz w:val="24"/>
          <w:szCs w:val="24"/>
        </w:rPr>
        <w:t xml:space="preserve">TRCA’s Sonia Meek </w:t>
      </w:r>
      <w:r w:rsidR="00633FCA" w:rsidRPr="00633FCA">
        <w:rPr>
          <w:rFonts w:asciiTheme="minorHAnsi" w:hAnsiTheme="minorHAnsi" w:cstheme="minorHAnsi"/>
          <w:sz w:val="24"/>
          <w:szCs w:val="24"/>
        </w:rPr>
        <w:t xml:space="preserve">at the SNAP </w:t>
      </w:r>
      <w:r w:rsidRPr="00633FCA">
        <w:rPr>
          <w:rFonts w:asciiTheme="minorHAnsi" w:hAnsiTheme="minorHAnsi" w:cstheme="minorHAnsi"/>
          <w:sz w:val="24"/>
          <w:szCs w:val="24"/>
        </w:rPr>
        <w:t>Program is also interested in developing connections between various jurisdictions to streamli</w:t>
      </w:r>
      <w:r w:rsidR="00904F7C" w:rsidRPr="00633FCA">
        <w:rPr>
          <w:rFonts w:asciiTheme="minorHAnsi" w:hAnsiTheme="minorHAnsi" w:cstheme="minorHAnsi"/>
          <w:sz w:val="24"/>
          <w:szCs w:val="24"/>
        </w:rPr>
        <w:t>ne integrated land use planning</w:t>
      </w:r>
      <w:r w:rsidR="009E2F7A" w:rsidRPr="00633FCA">
        <w:rPr>
          <w:rFonts w:asciiTheme="minorHAnsi" w:hAnsiTheme="minorHAnsi" w:cstheme="minorHAnsi"/>
          <w:sz w:val="24"/>
          <w:szCs w:val="24"/>
        </w:rPr>
        <w:t>.</w:t>
      </w:r>
    </w:p>
    <w:p w:rsidR="00184D19" w:rsidRPr="00C119D2" w:rsidRDefault="00EB4BB8" w:rsidP="00C119D2">
      <w:pPr>
        <w:pStyle w:val="ListParagraph"/>
        <w:numPr>
          <w:ilvl w:val="0"/>
          <w:numId w:val="2"/>
        </w:numPr>
        <w:rPr>
          <w:rFonts w:asciiTheme="minorHAnsi" w:hAnsiTheme="minorHAnsi" w:cstheme="minorHAnsi"/>
          <w:sz w:val="24"/>
          <w:szCs w:val="24"/>
        </w:rPr>
      </w:pPr>
      <w:r w:rsidRPr="00633FCA">
        <w:rPr>
          <w:rFonts w:asciiTheme="minorHAnsi" w:hAnsiTheme="minorHAnsi" w:cstheme="minorHAnsi"/>
          <w:sz w:val="24"/>
          <w:szCs w:val="24"/>
        </w:rPr>
        <w:t xml:space="preserve">ICLEI Train the Trainers program: 12 municipalities participated in a cross dissection of policies and plans to </w:t>
      </w:r>
      <w:proofErr w:type="gramStart"/>
      <w:r w:rsidRPr="00633FCA">
        <w:rPr>
          <w:rFonts w:asciiTheme="minorHAnsi" w:hAnsiTheme="minorHAnsi" w:cstheme="minorHAnsi"/>
          <w:sz w:val="24"/>
          <w:szCs w:val="24"/>
        </w:rPr>
        <w:t>showca</w:t>
      </w:r>
      <w:r w:rsidR="00B64F0A" w:rsidRPr="00633FCA">
        <w:rPr>
          <w:rFonts w:asciiTheme="minorHAnsi" w:hAnsiTheme="minorHAnsi" w:cstheme="minorHAnsi"/>
          <w:sz w:val="24"/>
          <w:szCs w:val="24"/>
        </w:rPr>
        <w:t>se</w:t>
      </w:r>
      <w:proofErr w:type="gramEnd"/>
      <w:r w:rsidR="00B64F0A" w:rsidRPr="00633FCA">
        <w:rPr>
          <w:rFonts w:asciiTheme="minorHAnsi" w:hAnsiTheme="minorHAnsi" w:cstheme="minorHAnsi"/>
          <w:sz w:val="24"/>
          <w:szCs w:val="24"/>
        </w:rPr>
        <w:t xml:space="preserve"> potential risks and vulnerabilities.</w:t>
      </w:r>
      <w:r w:rsidRPr="00633FCA">
        <w:rPr>
          <w:rFonts w:asciiTheme="minorHAnsi" w:hAnsiTheme="minorHAnsi" w:cstheme="minorHAnsi"/>
          <w:sz w:val="24"/>
          <w:szCs w:val="24"/>
        </w:rPr>
        <w:t xml:space="preserve"> This can be incorporated into a </w:t>
      </w:r>
      <w:r w:rsidR="00633FCA" w:rsidRPr="00633FCA">
        <w:rPr>
          <w:rFonts w:asciiTheme="minorHAnsi" w:hAnsiTheme="minorHAnsi" w:cstheme="minorHAnsi"/>
          <w:sz w:val="24"/>
          <w:szCs w:val="24"/>
        </w:rPr>
        <w:t xml:space="preserve">future </w:t>
      </w:r>
      <w:r w:rsidRPr="00633FCA">
        <w:rPr>
          <w:rFonts w:asciiTheme="minorHAnsi" w:hAnsiTheme="minorHAnsi" w:cstheme="minorHAnsi"/>
          <w:sz w:val="24"/>
          <w:szCs w:val="24"/>
        </w:rPr>
        <w:t>CAC meeting/webinar event</w:t>
      </w:r>
      <w:r w:rsidR="004A61D8">
        <w:rPr>
          <w:rFonts w:asciiTheme="minorHAnsi" w:hAnsiTheme="minorHAnsi" w:cstheme="minorHAnsi"/>
          <w:sz w:val="24"/>
          <w:szCs w:val="24"/>
        </w:rPr>
        <w:t xml:space="preserve"> in order to try </w:t>
      </w:r>
      <w:proofErr w:type="gramStart"/>
      <w:r w:rsidR="004A61D8">
        <w:rPr>
          <w:rFonts w:asciiTheme="minorHAnsi" w:hAnsiTheme="minorHAnsi" w:cstheme="minorHAnsi"/>
          <w:sz w:val="24"/>
          <w:szCs w:val="24"/>
        </w:rPr>
        <w:t>and</w:t>
      </w:r>
      <w:proofErr w:type="gramEnd"/>
      <w:r w:rsidR="004A61D8">
        <w:rPr>
          <w:rFonts w:asciiTheme="minorHAnsi" w:hAnsiTheme="minorHAnsi" w:cstheme="minorHAnsi"/>
          <w:sz w:val="24"/>
          <w:szCs w:val="24"/>
        </w:rPr>
        <w:t xml:space="preserve"> advance the transferability analysis. </w:t>
      </w:r>
    </w:p>
    <w:p w:rsidR="00943690" w:rsidRPr="005576BB" w:rsidRDefault="00943690" w:rsidP="005576BB">
      <w:pPr>
        <w:rPr>
          <w:rFonts w:asciiTheme="minorHAnsi" w:hAnsiTheme="minorHAnsi" w:cstheme="minorHAnsi"/>
          <w:sz w:val="24"/>
          <w:szCs w:val="24"/>
        </w:rPr>
      </w:pPr>
      <w:r w:rsidRPr="005576BB">
        <w:rPr>
          <w:rFonts w:asciiTheme="minorHAnsi" w:hAnsiTheme="minorHAnsi" w:cstheme="minorHAnsi"/>
          <w:sz w:val="24"/>
          <w:szCs w:val="24"/>
        </w:rPr>
        <w:t xml:space="preserve">D#3 Active Transportation </w:t>
      </w:r>
      <w:r w:rsidR="004832C9" w:rsidRPr="005576BB">
        <w:rPr>
          <w:rFonts w:asciiTheme="minorHAnsi" w:hAnsiTheme="minorHAnsi" w:cstheme="minorHAnsi"/>
          <w:sz w:val="24"/>
          <w:szCs w:val="24"/>
        </w:rPr>
        <w:t xml:space="preserve">(AT) </w:t>
      </w:r>
      <w:r w:rsidRPr="005576BB">
        <w:rPr>
          <w:rFonts w:asciiTheme="minorHAnsi" w:hAnsiTheme="minorHAnsi" w:cstheme="minorHAnsi"/>
          <w:sz w:val="24"/>
          <w:szCs w:val="24"/>
        </w:rPr>
        <w:t>and Transportation Demand Management (TDM)</w:t>
      </w:r>
      <w:r w:rsidR="009E2F7A" w:rsidRPr="005576BB">
        <w:rPr>
          <w:rFonts w:asciiTheme="minorHAnsi" w:hAnsiTheme="minorHAnsi" w:cstheme="minorHAnsi"/>
          <w:sz w:val="24"/>
          <w:szCs w:val="24"/>
        </w:rPr>
        <w:t>.</w:t>
      </w:r>
    </w:p>
    <w:p w:rsidR="00C119D2" w:rsidRPr="00C119D2" w:rsidRDefault="004A61D8" w:rsidP="00C119D2">
      <w:pPr>
        <w:pStyle w:val="ListParagraph"/>
        <w:numPr>
          <w:ilvl w:val="0"/>
          <w:numId w:val="3"/>
        </w:numPr>
        <w:rPr>
          <w:rFonts w:asciiTheme="minorHAnsi" w:hAnsiTheme="minorHAnsi" w:cstheme="minorHAnsi"/>
          <w:sz w:val="24"/>
          <w:szCs w:val="24"/>
          <w:u w:val="single"/>
        </w:rPr>
      </w:pPr>
      <w:r>
        <w:rPr>
          <w:rFonts w:asciiTheme="minorHAnsi" w:hAnsiTheme="minorHAnsi" w:cstheme="minorHAnsi"/>
          <w:sz w:val="24"/>
          <w:szCs w:val="24"/>
        </w:rPr>
        <w:t>S</w:t>
      </w:r>
      <w:r w:rsidR="003915D2">
        <w:rPr>
          <w:rFonts w:asciiTheme="minorHAnsi" w:hAnsiTheme="minorHAnsi" w:cstheme="minorHAnsi"/>
          <w:sz w:val="24"/>
          <w:szCs w:val="24"/>
        </w:rPr>
        <w:t xml:space="preserve">ome municipalities </w:t>
      </w:r>
      <w:r>
        <w:rPr>
          <w:rFonts w:asciiTheme="minorHAnsi" w:hAnsiTheme="minorHAnsi" w:cstheme="minorHAnsi"/>
          <w:sz w:val="24"/>
          <w:szCs w:val="24"/>
        </w:rPr>
        <w:t xml:space="preserve">have shared that they are </w:t>
      </w:r>
      <w:r w:rsidR="003915D2">
        <w:rPr>
          <w:rFonts w:asciiTheme="minorHAnsi" w:hAnsiTheme="minorHAnsi" w:cstheme="minorHAnsi"/>
          <w:sz w:val="24"/>
          <w:szCs w:val="24"/>
        </w:rPr>
        <w:t xml:space="preserve">experiencing resistance </w:t>
      </w:r>
      <w:r w:rsidR="004832C9" w:rsidRPr="005576BB">
        <w:rPr>
          <w:rFonts w:asciiTheme="minorHAnsi" w:hAnsiTheme="minorHAnsi" w:cstheme="minorHAnsi"/>
          <w:sz w:val="24"/>
          <w:szCs w:val="24"/>
        </w:rPr>
        <w:t xml:space="preserve">from residents </w:t>
      </w:r>
      <w:r w:rsidR="003915D2">
        <w:rPr>
          <w:rFonts w:asciiTheme="minorHAnsi" w:hAnsiTheme="minorHAnsi" w:cstheme="minorHAnsi"/>
          <w:sz w:val="24"/>
          <w:szCs w:val="24"/>
        </w:rPr>
        <w:t xml:space="preserve">on </w:t>
      </w:r>
      <w:r w:rsidR="004832C9" w:rsidRPr="005576BB">
        <w:rPr>
          <w:rFonts w:asciiTheme="minorHAnsi" w:hAnsiTheme="minorHAnsi" w:cstheme="minorHAnsi"/>
          <w:sz w:val="24"/>
          <w:szCs w:val="24"/>
        </w:rPr>
        <w:t>AT</w:t>
      </w:r>
      <w:r w:rsidR="003915D2">
        <w:rPr>
          <w:rFonts w:asciiTheme="minorHAnsi" w:hAnsiTheme="minorHAnsi" w:cstheme="minorHAnsi"/>
          <w:sz w:val="24"/>
          <w:szCs w:val="24"/>
        </w:rPr>
        <w:t xml:space="preserve"> infrastructure (especially the A</w:t>
      </w:r>
      <w:r>
        <w:rPr>
          <w:rFonts w:asciiTheme="minorHAnsi" w:hAnsiTheme="minorHAnsi" w:cstheme="minorHAnsi"/>
          <w:sz w:val="24"/>
          <w:szCs w:val="24"/>
        </w:rPr>
        <w:t>T infrastructure that takes street</w:t>
      </w:r>
      <w:r w:rsidR="003915D2">
        <w:rPr>
          <w:rFonts w:asciiTheme="minorHAnsi" w:hAnsiTheme="minorHAnsi" w:cstheme="minorHAnsi"/>
          <w:sz w:val="24"/>
          <w:szCs w:val="24"/>
        </w:rPr>
        <w:t xml:space="preserve"> space) there will be a focus on </w:t>
      </w:r>
      <w:r w:rsidR="004832C9" w:rsidRPr="005576BB">
        <w:rPr>
          <w:rFonts w:asciiTheme="minorHAnsi" w:hAnsiTheme="minorHAnsi" w:cstheme="minorHAnsi"/>
          <w:sz w:val="24"/>
          <w:szCs w:val="24"/>
        </w:rPr>
        <w:t>trying to address what mech</w:t>
      </w:r>
      <w:r w:rsidR="003915D2">
        <w:rPr>
          <w:rFonts w:asciiTheme="minorHAnsi" w:hAnsiTheme="minorHAnsi" w:cstheme="minorHAnsi"/>
          <w:sz w:val="24"/>
          <w:szCs w:val="24"/>
        </w:rPr>
        <w:t xml:space="preserve">anisms would be most useful to foster </w:t>
      </w:r>
      <w:r w:rsidR="004832C9" w:rsidRPr="005576BB">
        <w:rPr>
          <w:rFonts w:asciiTheme="minorHAnsi" w:hAnsiTheme="minorHAnsi" w:cstheme="minorHAnsi"/>
          <w:sz w:val="24"/>
          <w:szCs w:val="24"/>
        </w:rPr>
        <w:t>community engagement</w:t>
      </w:r>
      <w:r w:rsidR="003915D2">
        <w:rPr>
          <w:rFonts w:asciiTheme="minorHAnsi" w:hAnsiTheme="minorHAnsi" w:cstheme="minorHAnsi"/>
          <w:sz w:val="24"/>
          <w:szCs w:val="24"/>
        </w:rPr>
        <w:t xml:space="preserve"> and support</w:t>
      </w:r>
      <w:r w:rsidR="004832C9" w:rsidRPr="005576BB">
        <w:rPr>
          <w:rFonts w:asciiTheme="minorHAnsi" w:hAnsiTheme="minorHAnsi" w:cstheme="minorHAnsi"/>
          <w:sz w:val="24"/>
          <w:szCs w:val="24"/>
        </w:rPr>
        <w:t xml:space="preserve">. </w:t>
      </w:r>
    </w:p>
    <w:p w:rsidR="00C119D2" w:rsidRPr="00C119D2" w:rsidRDefault="003915D2" w:rsidP="00C119D2">
      <w:pPr>
        <w:pStyle w:val="ListParagraph"/>
        <w:numPr>
          <w:ilvl w:val="0"/>
          <w:numId w:val="3"/>
        </w:numPr>
        <w:rPr>
          <w:rFonts w:asciiTheme="minorHAnsi" w:hAnsiTheme="minorHAnsi" w:cstheme="minorHAnsi"/>
          <w:sz w:val="24"/>
          <w:szCs w:val="24"/>
          <w:u w:val="single"/>
        </w:rPr>
      </w:pPr>
      <w:r>
        <w:rPr>
          <w:rFonts w:asciiTheme="minorHAnsi" w:hAnsiTheme="minorHAnsi" w:cstheme="minorHAnsi"/>
          <w:sz w:val="24"/>
          <w:szCs w:val="24"/>
        </w:rPr>
        <w:t xml:space="preserve">An update on the AT scan is requested by CAC members. </w:t>
      </w:r>
    </w:p>
    <w:p w:rsidR="009E2F7A" w:rsidRPr="005576BB" w:rsidRDefault="009E2F7A" w:rsidP="005576BB">
      <w:pPr>
        <w:rPr>
          <w:rFonts w:asciiTheme="minorHAnsi" w:hAnsiTheme="minorHAnsi" w:cstheme="minorHAnsi"/>
          <w:sz w:val="24"/>
          <w:szCs w:val="24"/>
        </w:rPr>
      </w:pPr>
      <w:r w:rsidRPr="005576BB">
        <w:rPr>
          <w:rFonts w:asciiTheme="minorHAnsi" w:hAnsiTheme="minorHAnsi" w:cstheme="minorHAnsi"/>
          <w:sz w:val="24"/>
          <w:szCs w:val="24"/>
        </w:rPr>
        <w:t>D#4 Public Health Communications and Business Case</w:t>
      </w:r>
      <w:r w:rsidR="000A35B6" w:rsidRPr="005576BB">
        <w:rPr>
          <w:rFonts w:asciiTheme="minorHAnsi" w:hAnsiTheme="minorHAnsi" w:cstheme="minorHAnsi"/>
          <w:sz w:val="24"/>
          <w:szCs w:val="24"/>
        </w:rPr>
        <w:t xml:space="preserve"> Development</w:t>
      </w:r>
    </w:p>
    <w:p w:rsidR="009E2F7A" w:rsidRPr="004A61D8" w:rsidRDefault="009E2F7A" w:rsidP="004A61D8">
      <w:pPr>
        <w:pStyle w:val="ListParagraph"/>
        <w:numPr>
          <w:ilvl w:val="0"/>
          <w:numId w:val="3"/>
        </w:numPr>
        <w:rPr>
          <w:rFonts w:asciiTheme="minorHAnsi" w:hAnsiTheme="minorHAnsi" w:cstheme="minorHAnsi"/>
          <w:sz w:val="24"/>
          <w:szCs w:val="24"/>
        </w:rPr>
      </w:pPr>
      <w:r w:rsidRPr="004A61D8">
        <w:rPr>
          <w:rFonts w:asciiTheme="minorHAnsi" w:hAnsiTheme="minorHAnsi" w:cstheme="minorHAnsi"/>
          <w:sz w:val="24"/>
          <w:szCs w:val="24"/>
        </w:rPr>
        <w:t xml:space="preserve">Clean Economy Alliance, with the help of TAF funding, will be looking into the impacts of health </w:t>
      </w:r>
      <w:r w:rsidR="004A61D8">
        <w:rPr>
          <w:rFonts w:asciiTheme="minorHAnsi" w:hAnsiTheme="minorHAnsi" w:cstheme="minorHAnsi"/>
          <w:sz w:val="24"/>
          <w:szCs w:val="24"/>
        </w:rPr>
        <w:t xml:space="preserve">messaging and </w:t>
      </w:r>
      <w:proofErr w:type="spellStart"/>
      <w:r w:rsidR="004A61D8">
        <w:rPr>
          <w:rFonts w:asciiTheme="minorHAnsi" w:hAnsiTheme="minorHAnsi" w:cstheme="minorHAnsi"/>
          <w:sz w:val="24"/>
          <w:szCs w:val="24"/>
        </w:rPr>
        <w:t>ghg</w:t>
      </w:r>
      <w:proofErr w:type="spellEnd"/>
      <w:r w:rsidR="004A61D8">
        <w:rPr>
          <w:rFonts w:asciiTheme="minorHAnsi" w:hAnsiTheme="minorHAnsi" w:cstheme="minorHAnsi"/>
          <w:sz w:val="24"/>
          <w:szCs w:val="24"/>
        </w:rPr>
        <w:t xml:space="preserve"> mitigation </w:t>
      </w:r>
      <w:r w:rsidRPr="004A61D8">
        <w:rPr>
          <w:rFonts w:asciiTheme="minorHAnsi" w:hAnsiTheme="minorHAnsi" w:cstheme="minorHAnsi"/>
          <w:sz w:val="24"/>
          <w:szCs w:val="24"/>
        </w:rPr>
        <w:t xml:space="preserve">and </w:t>
      </w:r>
      <w:r w:rsidR="004A61D8">
        <w:rPr>
          <w:rFonts w:asciiTheme="minorHAnsi" w:hAnsiTheme="minorHAnsi" w:cstheme="minorHAnsi"/>
          <w:sz w:val="24"/>
          <w:szCs w:val="24"/>
        </w:rPr>
        <w:t xml:space="preserve">the synergies and connection between them. </w:t>
      </w:r>
      <w:r w:rsidR="00904F7C" w:rsidRPr="004A61D8">
        <w:rPr>
          <w:rFonts w:asciiTheme="minorHAnsi" w:hAnsiTheme="minorHAnsi" w:cstheme="minorHAnsi"/>
          <w:sz w:val="24"/>
          <w:szCs w:val="24"/>
        </w:rPr>
        <w:t xml:space="preserve">The results will be ready for May. </w:t>
      </w:r>
    </w:p>
    <w:p w:rsidR="00904F7C" w:rsidRPr="005576BB" w:rsidRDefault="00904F7C" w:rsidP="005576BB">
      <w:pPr>
        <w:rPr>
          <w:rFonts w:asciiTheme="minorHAnsi" w:hAnsiTheme="minorHAnsi" w:cstheme="minorHAnsi"/>
          <w:sz w:val="24"/>
          <w:szCs w:val="24"/>
        </w:rPr>
      </w:pPr>
      <w:r w:rsidRPr="005576BB">
        <w:rPr>
          <w:rFonts w:asciiTheme="minorHAnsi" w:hAnsiTheme="minorHAnsi" w:cstheme="minorHAnsi"/>
          <w:sz w:val="24"/>
          <w:szCs w:val="24"/>
        </w:rPr>
        <w:t>D# 5 Green Development Standards (GDS)</w:t>
      </w:r>
    </w:p>
    <w:p w:rsidR="004A61D8" w:rsidRDefault="006C339A" w:rsidP="004A61D8">
      <w:pPr>
        <w:pStyle w:val="ListParagraph"/>
        <w:numPr>
          <w:ilvl w:val="0"/>
          <w:numId w:val="18"/>
        </w:numPr>
        <w:rPr>
          <w:rFonts w:asciiTheme="minorHAnsi" w:hAnsiTheme="minorHAnsi" w:cstheme="minorHAnsi"/>
          <w:sz w:val="24"/>
          <w:szCs w:val="24"/>
        </w:rPr>
      </w:pPr>
      <w:r w:rsidRPr="004A61D8">
        <w:rPr>
          <w:rFonts w:asciiTheme="minorHAnsi" w:hAnsiTheme="minorHAnsi" w:cstheme="minorHAnsi"/>
          <w:sz w:val="24"/>
          <w:szCs w:val="24"/>
        </w:rPr>
        <w:lastRenderedPageBreak/>
        <w:t>Richmond Hill</w:t>
      </w:r>
      <w:r w:rsidR="008A773E" w:rsidRPr="004A61D8">
        <w:rPr>
          <w:rFonts w:asciiTheme="minorHAnsi" w:hAnsiTheme="minorHAnsi" w:cstheme="minorHAnsi"/>
          <w:sz w:val="24"/>
          <w:szCs w:val="24"/>
        </w:rPr>
        <w:t xml:space="preserve"> Update</w:t>
      </w:r>
      <w:r w:rsidRPr="004A61D8">
        <w:rPr>
          <w:rFonts w:asciiTheme="minorHAnsi" w:hAnsiTheme="minorHAnsi" w:cstheme="minorHAnsi"/>
          <w:sz w:val="24"/>
          <w:szCs w:val="24"/>
        </w:rPr>
        <w:t xml:space="preserve">: received funding </w:t>
      </w:r>
      <w:r w:rsidR="00A06519" w:rsidRPr="004A61D8">
        <w:rPr>
          <w:rFonts w:asciiTheme="minorHAnsi" w:hAnsiTheme="minorHAnsi" w:cstheme="minorHAnsi"/>
          <w:sz w:val="24"/>
          <w:szCs w:val="24"/>
        </w:rPr>
        <w:t xml:space="preserve">in 2018 budget </w:t>
      </w:r>
      <w:r w:rsidR="004A61D8">
        <w:rPr>
          <w:rFonts w:asciiTheme="minorHAnsi" w:hAnsiTheme="minorHAnsi" w:cstheme="minorHAnsi"/>
          <w:sz w:val="24"/>
          <w:szCs w:val="24"/>
        </w:rPr>
        <w:t xml:space="preserve">to update </w:t>
      </w:r>
      <w:r w:rsidRPr="004A61D8">
        <w:rPr>
          <w:rFonts w:asciiTheme="minorHAnsi" w:hAnsiTheme="minorHAnsi" w:cstheme="minorHAnsi"/>
          <w:sz w:val="24"/>
          <w:szCs w:val="24"/>
        </w:rPr>
        <w:t xml:space="preserve">GDS metrics </w:t>
      </w:r>
      <w:r w:rsidR="000A35B6" w:rsidRPr="004A61D8">
        <w:rPr>
          <w:rFonts w:asciiTheme="minorHAnsi" w:hAnsiTheme="minorHAnsi" w:cstheme="minorHAnsi"/>
          <w:sz w:val="24"/>
          <w:szCs w:val="24"/>
        </w:rPr>
        <w:t xml:space="preserve">(with Vaughan and Brampton) </w:t>
      </w:r>
      <w:r w:rsidRPr="004A61D8">
        <w:rPr>
          <w:rFonts w:asciiTheme="minorHAnsi" w:hAnsiTheme="minorHAnsi" w:cstheme="minorHAnsi"/>
          <w:sz w:val="24"/>
          <w:szCs w:val="24"/>
        </w:rPr>
        <w:t>and is looking to use the Net-Zero</w:t>
      </w:r>
      <w:r w:rsidR="000A35B6" w:rsidRPr="004A61D8">
        <w:rPr>
          <w:rFonts w:asciiTheme="minorHAnsi" w:hAnsiTheme="minorHAnsi" w:cstheme="minorHAnsi"/>
          <w:sz w:val="24"/>
          <w:szCs w:val="24"/>
        </w:rPr>
        <w:t>/community-oriented</w:t>
      </w:r>
      <w:r w:rsidRPr="004A61D8">
        <w:rPr>
          <w:rFonts w:asciiTheme="minorHAnsi" w:hAnsiTheme="minorHAnsi" w:cstheme="minorHAnsi"/>
          <w:sz w:val="24"/>
          <w:szCs w:val="24"/>
        </w:rPr>
        <w:t xml:space="preserve"> lens the City of Toronto inc</w:t>
      </w:r>
      <w:r w:rsidR="00A24874" w:rsidRPr="004A61D8">
        <w:rPr>
          <w:rFonts w:asciiTheme="minorHAnsi" w:hAnsiTheme="minorHAnsi" w:cstheme="minorHAnsi"/>
          <w:sz w:val="24"/>
          <w:szCs w:val="24"/>
        </w:rPr>
        <w:t>orporated into their Toronto Green S</w:t>
      </w:r>
      <w:r w:rsidR="000A35B6" w:rsidRPr="004A61D8">
        <w:rPr>
          <w:rFonts w:asciiTheme="minorHAnsi" w:hAnsiTheme="minorHAnsi" w:cstheme="minorHAnsi"/>
          <w:sz w:val="24"/>
          <w:szCs w:val="24"/>
        </w:rPr>
        <w:t>tandards</w:t>
      </w:r>
      <w:r w:rsidRPr="004A61D8">
        <w:rPr>
          <w:rFonts w:asciiTheme="minorHAnsi" w:hAnsiTheme="minorHAnsi" w:cstheme="minorHAnsi"/>
          <w:sz w:val="24"/>
          <w:szCs w:val="24"/>
        </w:rPr>
        <w:t xml:space="preserve">. </w:t>
      </w:r>
    </w:p>
    <w:p w:rsidR="004A61D8" w:rsidRDefault="006C339A" w:rsidP="004A61D8">
      <w:pPr>
        <w:pStyle w:val="ListParagraph"/>
        <w:numPr>
          <w:ilvl w:val="0"/>
          <w:numId w:val="18"/>
        </w:numPr>
        <w:rPr>
          <w:rFonts w:asciiTheme="minorHAnsi" w:hAnsiTheme="minorHAnsi" w:cstheme="minorHAnsi"/>
          <w:sz w:val="24"/>
          <w:szCs w:val="24"/>
        </w:rPr>
      </w:pPr>
      <w:r w:rsidRPr="004A61D8">
        <w:rPr>
          <w:rFonts w:asciiTheme="minorHAnsi" w:hAnsiTheme="minorHAnsi" w:cstheme="minorHAnsi"/>
          <w:sz w:val="24"/>
          <w:szCs w:val="24"/>
        </w:rPr>
        <w:t>Durham Region</w:t>
      </w:r>
      <w:r w:rsidR="008A773E" w:rsidRPr="004A61D8">
        <w:rPr>
          <w:rFonts w:asciiTheme="minorHAnsi" w:hAnsiTheme="minorHAnsi" w:cstheme="minorHAnsi"/>
          <w:sz w:val="24"/>
          <w:szCs w:val="24"/>
        </w:rPr>
        <w:t xml:space="preserve"> Update</w:t>
      </w:r>
      <w:r w:rsidR="000A35B6" w:rsidRPr="004A61D8">
        <w:rPr>
          <w:rFonts w:asciiTheme="minorHAnsi" w:hAnsiTheme="minorHAnsi" w:cstheme="minorHAnsi"/>
          <w:sz w:val="24"/>
          <w:szCs w:val="24"/>
        </w:rPr>
        <w:t>: C</w:t>
      </w:r>
      <w:r w:rsidRPr="004A61D8">
        <w:rPr>
          <w:rFonts w:asciiTheme="minorHAnsi" w:hAnsiTheme="minorHAnsi" w:cstheme="minorHAnsi"/>
          <w:sz w:val="24"/>
          <w:szCs w:val="24"/>
        </w:rPr>
        <w:t xml:space="preserve">urrently </w:t>
      </w:r>
      <w:r w:rsidR="000A35B6" w:rsidRPr="004A61D8">
        <w:rPr>
          <w:rFonts w:asciiTheme="minorHAnsi" w:hAnsiTheme="minorHAnsi" w:cstheme="minorHAnsi"/>
          <w:sz w:val="24"/>
          <w:szCs w:val="24"/>
        </w:rPr>
        <w:t>finished the</w:t>
      </w:r>
      <w:r w:rsidRPr="004A61D8">
        <w:rPr>
          <w:rFonts w:asciiTheme="minorHAnsi" w:hAnsiTheme="minorHAnsi" w:cstheme="minorHAnsi"/>
          <w:sz w:val="24"/>
          <w:szCs w:val="24"/>
        </w:rPr>
        <w:t xml:space="preserve"> first stage of </w:t>
      </w:r>
      <w:r w:rsidR="004A61D8">
        <w:rPr>
          <w:rFonts w:asciiTheme="minorHAnsi" w:hAnsiTheme="minorHAnsi" w:cstheme="minorHAnsi"/>
          <w:sz w:val="24"/>
          <w:szCs w:val="24"/>
        </w:rPr>
        <w:t xml:space="preserve">the </w:t>
      </w:r>
      <w:r w:rsidR="00A06519" w:rsidRPr="004A61D8">
        <w:rPr>
          <w:rFonts w:asciiTheme="minorHAnsi" w:hAnsiTheme="minorHAnsi" w:cstheme="minorHAnsi"/>
          <w:sz w:val="24"/>
          <w:szCs w:val="24"/>
        </w:rPr>
        <w:t xml:space="preserve">Resilience </w:t>
      </w:r>
      <w:r w:rsidR="004A61D8">
        <w:rPr>
          <w:rFonts w:asciiTheme="minorHAnsi" w:hAnsiTheme="minorHAnsi" w:cstheme="minorHAnsi"/>
          <w:sz w:val="24"/>
          <w:szCs w:val="24"/>
        </w:rPr>
        <w:t xml:space="preserve">House </w:t>
      </w:r>
      <w:r w:rsidR="00A06519" w:rsidRPr="004A61D8">
        <w:rPr>
          <w:rFonts w:asciiTheme="minorHAnsi" w:hAnsiTheme="minorHAnsi" w:cstheme="minorHAnsi"/>
          <w:sz w:val="24"/>
          <w:szCs w:val="24"/>
        </w:rPr>
        <w:t xml:space="preserve">Standard for new housing done by the </w:t>
      </w:r>
      <w:r w:rsidR="004A61D8">
        <w:rPr>
          <w:rFonts w:asciiTheme="minorHAnsi" w:hAnsiTheme="minorHAnsi" w:cstheme="minorHAnsi"/>
          <w:sz w:val="24"/>
          <w:szCs w:val="24"/>
        </w:rPr>
        <w:t xml:space="preserve">Region and the </w:t>
      </w:r>
      <w:r w:rsidR="00A06519" w:rsidRPr="004A61D8">
        <w:rPr>
          <w:rFonts w:asciiTheme="minorHAnsi" w:hAnsiTheme="minorHAnsi" w:cstheme="minorHAnsi"/>
          <w:sz w:val="24"/>
          <w:szCs w:val="24"/>
        </w:rPr>
        <w:t xml:space="preserve">Institute of Catastrophic Loss Reduction. </w:t>
      </w:r>
      <w:r w:rsidR="004A61D8">
        <w:rPr>
          <w:rFonts w:asciiTheme="minorHAnsi" w:hAnsiTheme="minorHAnsi" w:cstheme="minorHAnsi"/>
          <w:sz w:val="24"/>
          <w:szCs w:val="24"/>
        </w:rPr>
        <w:t>H</w:t>
      </w:r>
      <w:r w:rsidR="00DB0753" w:rsidRPr="004A61D8">
        <w:rPr>
          <w:rFonts w:asciiTheme="minorHAnsi" w:hAnsiTheme="minorHAnsi" w:cstheme="minorHAnsi"/>
          <w:sz w:val="24"/>
          <w:szCs w:val="24"/>
        </w:rPr>
        <w:t>ave established 42 measure</w:t>
      </w:r>
      <w:r w:rsidR="000A35B6" w:rsidRPr="004A61D8">
        <w:rPr>
          <w:rFonts w:asciiTheme="minorHAnsi" w:hAnsiTheme="minorHAnsi" w:cstheme="minorHAnsi"/>
          <w:sz w:val="24"/>
          <w:szCs w:val="24"/>
        </w:rPr>
        <w:t>s</w:t>
      </w:r>
      <w:r w:rsidR="00DB0753" w:rsidRPr="004A61D8">
        <w:rPr>
          <w:rFonts w:asciiTheme="minorHAnsi" w:hAnsiTheme="minorHAnsi" w:cstheme="minorHAnsi"/>
          <w:sz w:val="24"/>
          <w:szCs w:val="24"/>
        </w:rPr>
        <w:t xml:space="preserve"> t</w:t>
      </w:r>
      <w:r w:rsidR="000A35B6" w:rsidRPr="004A61D8">
        <w:rPr>
          <w:rFonts w:asciiTheme="minorHAnsi" w:hAnsiTheme="minorHAnsi" w:cstheme="minorHAnsi"/>
          <w:sz w:val="24"/>
          <w:szCs w:val="24"/>
        </w:rPr>
        <w:t>hat would increase the</w:t>
      </w:r>
      <w:r w:rsidR="00DB0753" w:rsidRPr="004A61D8">
        <w:rPr>
          <w:rFonts w:asciiTheme="minorHAnsi" w:hAnsiTheme="minorHAnsi" w:cstheme="minorHAnsi"/>
          <w:sz w:val="24"/>
          <w:szCs w:val="24"/>
        </w:rPr>
        <w:t xml:space="preserve"> resilience within the low-rise housing</w:t>
      </w:r>
      <w:r w:rsidR="004A61D8">
        <w:rPr>
          <w:rFonts w:asciiTheme="minorHAnsi" w:hAnsiTheme="minorHAnsi" w:cstheme="minorHAnsi"/>
          <w:sz w:val="24"/>
          <w:szCs w:val="24"/>
        </w:rPr>
        <w:t xml:space="preserve"> sector. N</w:t>
      </w:r>
      <w:r w:rsidR="00DB0753" w:rsidRPr="004A61D8">
        <w:rPr>
          <w:rFonts w:asciiTheme="minorHAnsi" w:hAnsiTheme="minorHAnsi" w:cstheme="minorHAnsi"/>
          <w:sz w:val="24"/>
          <w:szCs w:val="24"/>
        </w:rPr>
        <w:t xml:space="preserve">ow focused on </w:t>
      </w:r>
      <w:r w:rsidR="004A61D8">
        <w:rPr>
          <w:rFonts w:asciiTheme="minorHAnsi" w:hAnsiTheme="minorHAnsi" w:cstheme="minorHAnsi"/>
          <w:sz w:val="24"/>
          <w:szCs w:val="24"/>
        </w:rPr>
        <w:t>mechanisms to implement</w:t>
      </w:r>
      <w:r w:rsidR="000A35B6" w:rsidRPr="004A61D8">
        <w:rPr>
          <w:rFonts w:asciiTheme="minorHAnsi" w:hAnsiTheme="minorHAnsi" w:cstheme="minorHAnsi"/>
          <w:sz w:val="24"/>
          <w:szCs w:val="24"/>
        </w:rPr>
        <w:t xml:space="preserve"> these measures</w:t>
      </w:r>
      <w:r w:rsidR="00A06519" w:rsidRPr="004A61D8">
        <w:rPr>
          <w:rFonts w:asciiTheme="minorHAnsi" w:hAnsiTheme="minorHAnsi" w:cstheme="minorHAnsi"/>
          <w:sz w:val="24"/>
          <w:szCs w:val="24"/>
        </w:rPr>
        <w:t xml:space="preserve"> in Durham</w:t>
      </w:r>
      <w:r w:rsidR="000A35B6" w:rsidRPr="004A61D8">
        <w:rPr>
          <w:rFonts w:asciiTheme="minorHAnsi" w:hAnsiTheme="minorHAnsi" w:cstheme="minorHAnsi"/>
          <w:sz w:val="24"/>
          <w:szCs w:val="24"/>
        </w:rPr>
        <w:t xml:space="preserve"> region</w:t>
      </w:r>
      <w:r w:rsidR="00A06519" w:rsidRPr="004A61D8">
        <w:rPr>
          <w:rFonts w:asciiTheme="minorHAnsi" w:hAnsiTheme="minorHAnsi" w:cstheme="minorHAnsi"/>
          <w:sz w:val="24"/>
          <w:szCs w:val="24"/>
        </w:rPr>
        <w:t>.</w:t>
      </w:r>
      <w:r w:rsidR="004A61D8">
        <w:rPr>
          <w:rFonts w:asciiTheme="minorHAnsi" w:hAnsiTheme="minorHAnsi" w:cstheme="minorHAnsi"/>
          <w:sz w:val="24"/>
          <w:szCs w:val="24"/>
        </w:rPr>
        <w:t xml:space="preserve"> </w:t>
      </w:r>
      <w:r w:rsidR="00DB0753" w:rsidRPr="004A61D8">
        <w:rPr>
          <w:rFonts w:asciiTheme="minorHAnsi" w:hAnsiTheme="minorHAnsi" w:cstheme="minorHAnsi"/>
          <w:sz w:val="24"/>
          <w:szCs w:val="24"/>
        </w:rPr>
        <w:t>These 42 measures are transferable to any municipa</w:t>
      </w:r>
      <w:r w:rsidR="004A61D8">
        <w:rPr>
          <w:rFonts w:asciiTheme="minorHAnsi" w:hAnsiTheme="minorHAnsi" w:cstheme="minorHAnsi"/>
          <w:sz w:val="24"/>
          <w:szCs w:val="24"/>
        </w:rPr>
        <w:t>lity found in southern Ontario</w:t>
      </w:r>
    </w:p>
    <w:p w:rsidR="004A61D8" w:rsidRDefault="004A61D8" w:rsidP="004A61D8">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There is interest in </w:t>
      </w:r>
      <w:r w:rsidR="00ED3D5D" w:rsidRPr="004A61D8">
        <w:rPr>
          <w:rFonts w:asciiTheme="minorHAnsi" w:hAnsiTheme="minorHAnsi" w:cstheme="minorHAnsi"/>
          <w:sz w:val="24"/>
          <w:szCs w:val="24"/>
        </w:rPr>
        <w:t>supporting initiatives that promote the training of contractors in green building design. Are municipali</w:t>
      </w:r>
      <w:r>
        <w:rPr>
          <w:rFonts w:asciiTheme="minorHAnsi" w:hAnsiTheme="minorHAnsi" w:cstheme="minorHAnsi"/>
          <w:sz w:val="24"/>
          <w:szCs w:val="24"/>
        </w:rPr>
        <w:t xml:space="preserve">ties working with contractors? </w:t>
      </w:r>
      <w:proofErr w:type="gramStart"/>
      <w:r>
        <w:rPr>
          <w:rFonts w:asciiTheme="minorHAnsi" w:hAnsiTheme="minorHAnsi" w:cstheme="minorHAnsi"/>
          <w:sz w:val="24"/>
          <w:szCs w:val="24"/>
        </w:rPr>
        <w:t>A</w:t>
      </w:r>
      <w:r w:rsidR="00ED3D5D" w:rsidRPr="004A61D8">
        <w:rPr>
          <w:rFonts w:asciiTheme="minorHAnsi" w:hAnsiTheme="minorHAnsi" w:cstheme="minorHAnsi"/>
          <w:sz w:val="24"/>
          <w:szCs w:val="24"/>
        </w:rPr>
        <w:t>nd</w:t>
      </w:r>
      <w:proofErr w:type="gramEnd"/>
      <w:r w:rsidR="00ED3D5D" w:rsidRPr="004A61D8">
        <w:rPr>
          <w:rFonts w:asciiTheme="minorHAnsi" w:hAnsiTheme="minorHAnsi" w:cstheme="minorHAnsi"/>
          <w:sz w:val="24"/>
          <w:szCs w:val="24"/>
        </w:rPr>
        <w:t xml:space="preserve"> how </w:t>
      </w:r>
      <w:r>
        <w:rPr>
          <w:rFonts w:asciiTheme="minorHAnsi" w:hAnsiTheme="minorHAnsi" w:cstheme="minorHAnsi"/>
          <w:sz w:val="24"/>
          <w:szCs w:val="24"/>
        </w:rPr>
        <w:t xml:space="preserve">are these programs </w:t>
      </w:r>
      <w:r w:rsidR="00ED3D5D" w:rsidRPr="004A61D8">
        <w:rPr>
          <w:rFonts w:asciiTheme="minorHAnsi" w:hAnsiTheme="minorHAnsi" w:cstheme="minorHAnsi"/>
          <w:sz w:val="24"/>
          <w:szCs w:val="24"/>
        </w:rPr>
        <w:t>being administered (financed, providing training, and monitoring the effectiveness of such initiatives)?</w:t>
      </w:r>
    </w:p>
    <w:p w:rsidR="006D18F2" w:rsidRDefault="00DB0753" w:rsidP="006D18F2">
      <w:pPr>
        <w:pStyle w:val="ListParagraph"/>
        <w:numPr>
          <w:ilvl w:val="0"/>
          <w:numId w:val="18"/>
        </w:numPr>
        <w:rPr>
          <w:rFonts w:asciiTheme="minorHAnsi" w:hAnsiTheme="minorHAnsi" w:cstheme="minorHAnsi"/>
          <w:sz w:val="24"/>
          <w:szCs w:val="24"/>
        </w:rPr>
      </w:pPr>
      <w:r w:rsidRPr="004A61D8">
        <w:rPr>
          <w:rFonts w:asciiTheme="minorHAnsi" w:hAnsiTheme="minorHAnsi" w:cstheme="minorHAnsi"/>
          <w:sz w:val="24"/>
          <w:szCs w:val="24"/>
        </w:rPr>
        <w:t>Guelph</w:t>
      </w:r>
      <w:r w:rsidR="000115D9" w:rsidRPr="004A61D8">
        <w:rPr>
          <w:rFonts w:asciiTheme="minorHAnsi" w:hAnsiTheme="minorHAnsi" w:cstheme="minorHAnsi"/>
          <w:sz w:val="24"/>
          <w:szCs w:val="24"/>
        </w:rPr>
        <w:t xml:space="preserve"> </w:t>
      </w:r>
      <w:r w:rsidRPr="004A61D8">
        <w:rPr>
          <w:rFonts w:asciiTheme="minorHAnsi" w:hAnsiTheme="minorHAnsi" w:cstheme="minorHAnsi"/>
          <w:sz w:val="24"/>
          <w:szCs w:val="24"/>
        </w:rPr>
        <w:t xml:space="preserve">is having conversations with their leading </w:t>
      </w:r>
      <w:r w:rsidRPr="006D18F2">
        <w:rPr>
          <w:rFonts w:asciiTheme="minorHAnsi" w:hAnsiTheme="minorHAnsi" w:cstheme="minorHAnsi"/>
          <w:sz w:val="24"/>
          <w:szCs w:val="24"/>
        </w:rPr>
        <w:t>green</w:t>
      </w:r>
      <w:r w:rsidRPr="004A61D8">
        <w:rPr>
          <w:rFonts w:asciiTheme="minorHAnsi" w:hAnsiTheme="minorHAnsi" w:cstheme="minorHAnsi"/>
          <w:sz w:val="24"/>
          <w:szCs w:val="24"/>
        </w:rPr>
        <w:t xml:space="preserve"> contractors</w:t>
      </w:r>
      <w:r w:rsidR="008D389C" w:rsidRPr="004A61D8">
        <w:rPr>
          <w:rFonts w:asciiTheme="minorHAnsi" w:hAnsiTheme="minorHAnsi" w:cstheme="minorHAnsi"/>
          <w:sz w:val="24"/>
          <w:szCs w:val="24"/>
        </w:rPr>
        <w:t xml:space="preserve"> (who are </w:t>
      </w:r>
      <w:r w:rsidR="000115D9" w:rsidRPr="004A61D8">
        <w:rPr>
          <w:rFonts w:asciiTheme="minorHAnsi" w:hAnsiTheme="minorHAnsi" w:cstheme="minorHAnsi"/>
          <w:sz w:val="24"/>
          <w:szCs w:val="24"/>
        </w:rPr>
        <w:t>focused on pushi</w:t>
      </w:r>
      <w:r w:rsidR="00C755F3">
        <w:rPr>
          <w:rFonts w:asciiTheme="minorHAnsi" w:hAnsiTheme="minorHAnsi" w:cstheme="minorHAnsi"/>
          <w:sz w:val="24"/>
          <w:szCs w:val="24"/>
        </w:rPr>
        <w:t>ng energy efficiency renovations</w:t>
      </w:r>
      <w:r w:rsidR="000115D9" w:rsidRPr="004A61D8">
        <w:rPr>
          <w:rFonts w:asciiTheme="minorHAnsi" w:hAnsiTheme="minorHAnsi" w:cstheme="minorHAnsi"/>
          <w:sz w:val="24"/>
          <w:szCs w:val="24"/>
        </w:rPr>
        <w:t>)</w:t>
      </w:r>
      <w:r w:rsidRPr="004A61D8">
        <w:rPr>
          <w:rFonts w:asciiTheme="minorHAnsi" w:hAnsiTheme="minorHAnsi" w:cstheme="minorHAnsi"/>
          <w:sz w:val="24"/>
          <w:szCs w:val="24"/>
        </w:rPr>
        <w:t xml:space="preserve"> to potentially consider having conversations with contractors that are not inclined to incorporate green </w:t>
      </w:r>
      <w:r w:rsidR="006D18F2">
        <w:rPr>
          <w:rFonts w:asciiTheme="minorHAnsi" w:hAnsiTheme="minorHAnsi" w:cstheme="minorHAnsi"/>
          <w:sz w:val="24"/>
          <w:szCs w:val="24"/>
        </w:rPr>
        <w:t xml:space="preserve">features. </w:t>
      </w:r>
    </w:p>
    <w:p w:rsidR="006D18F2" w:rsidRDefault="00112F9A" w:rsidP="006D18F2">
      <w:pPr>
        <w:pStyle w:val="ListParagraph"/>
        <w:numPr>
          <w:ilvl w:val="0"/>
          <w:numId w:val="18"/>
        </w:numPr>
        <w:rPr>
          <w:rFonts w:asciiTheme="minorHAnsi" w:hAnsiTheme="minorHAnsi" w:cstheme="minorHAnsi"/>
          <w:sz w:val="24"/>
          <w:szCs w:val="24"/>
        </w:rPr>
      </w:pPr>
      <w:r w:rsidRPr="006D18F2">
        <w:rPr>
          <w:rFonts w:asciiTheme="minorHAnsi" w:hAnsiTheme="minorHAnsi" w:cstheme="minorHAnsi"/>
          <w:sz w:val="24"/>
          <w:szCs w:val="24"/>
        </w:rPr>
        <w:t xml:space="preserve">Resource: </w:t>
      </w:r>
      <w:r w:rsidR="002A4BEC" w:rsidRPr="006D18F2">
        <w:rPr>
          <w:rFonts w:asciiTheme="minorHAnsi" w:hAnsiTheme="minorHAnsi" w:cstheme="minorHAnsi"/>
          <w:i/>
          <w:sz w:val="24"/>
          <w:szCs w:val="24"/>
        </w:rPr>
        <w:t xml:space="preserve">Happy City </w:t>
      </w:r>
      <w:r w:rsidR="002A4BEC" w:rsidRPr="006D18F2">
        <w:rPr>
          <w:rFonts w:asciiTheme="minorHAnsi" w:hAnsiTheme="minorHAnsi" w:cstheme="minorHAnsi"/>
          <w:sz w:val="24"/>
          <w:szCs w:val="24"/>
        </w:rPr>
        <w:t>by Charles Montgomery is a recommended book for those interested in</w:t>
      </w:r>
      <w:r w:rsidR="008D389C" w:rsidRPr="006D18F2">
        <w:rPr>
          <w:rFonts w:asciiTheme="minorHAnsi" w:hAnsiTheme="minorHAnsi" w:cstheme="minorHAnsi"/>
          <w:sz w:val="24"/>
          <w:szCs w:val="24"/>
        </w:rPr>
        <w:t xml:space="preserve"> considering a public health argument associated with poor urban planning </w:t>
      </w:r>
      <w:r w:rsidR="002A4BEC" w:rsidRPr="006D18F2">
        <w:rPr>
          <w:rFonts w:asciiTheme="minorHAnsi" w:hAnsiTheme="minorHAnsi" w:cstheme="minorHAnsi"/>
          <w:sz w:val="24"/>
          <w:szCs w:val="24"/>
        </w:rPr>
        <w:t xml:space="preserve">decisions. </w:t>
      </w:r>
      <w:r w:rsidR="00E84F77" w:rsidRPr="006D18F2">
        <w:rPr>
          <w:rFonts w:asciiTheme="minorHAnsi" w:hAnsiTheme="minorHAnsi" w:cstheme="minorHAnsi"/>
          <w:sz w:val="24"/>
          <w:szCs w:val="24"/>
        </w:rPr>
        <w:t xml:space="preserve"> </w:t>
      </w:r>
    </w:p>
    <w:p w:rsidR="006D18F2" w:rsidRDefault="00ED3D5D" w:rsidP="006D18F2">
      <w:pPr>
        <w:pStyle w:val="ListParagraph"/>
        <w:numPr>
          <w:ilvl w:val="0"/>
          <w:numId w:val="18"/>
        </w:numPr>
        <w:rPr>
          <w:rFonts w:asciiTheme="minorHAnsi" w:hAnsiTheme="minorHAnsi" w:cstheme="minorHAnsi"/>
          <w:sz w:val="24"/>
          <w:szCs w:val="24"/>
        </w:rPr>
      </w:pPr>
      <w:r w:rsidRPr="006D18F2">
        <w:rPr>
          <w:rFonts w:asciiTheme="minorHAnsi" w:hAnsiTheme="minorHAnsi" w:cstheme="minorHAnsi"/>
          <w:sz w:val="24"/>
          <w:szCs w:val="24"/>
        </w:rPr>
        <w:t xml:space="preserve">Municipalities are interested in </w:t>
      </w:r>
      <w:r w:rsidR="006D18F2">
        <w:rPr>
          <w:rFonts w:asciiTheme="minorHAnsi" w:hAnsiTheme="minorHAnsi" w:cstheme="minorHAnsi"/>
          <w:sz w:val="24"/>
          <w:szCs w:val="24"/>
        </w:rPr>
        <w:t xml:space="preserve">mechanisms to address </w:t>
      </w:r>
      <w:r w:rsidRPr="006D18F2">
        <w:rPr>
          <w:rFonts w:asciiTheme="minorHAnsi" w:hAnsiTheme="minorHAnsi" w:cstheme="minorHAnsi"/>
          <w:sz w:val="24"/>
          <w:szCs w:val="24"/>
        </w:rPr>
        <w:t xml:space="preserve">upfront costs, lack of skilled trades, and the promotion of leadership within civil society to strengthen the market for </w:t>
      </w:r>
      <w:r w:rsidR="006D18F2">
        <w:rPr>
          <w:rFonts w:asciiTheme="minorHAnsi" w:hAnsiTheme="minorHAnsi" w:cstheme="minorHAnsi"/>
          <w:sz w:val="24"/>
          <w:szCs w:val="24"/>
        </w:rPr>
        <w:t xml:space="preserve">energy efficient and </w:t>
      </w:r>
      <w:r w:rsidRPr="006D18F2">
        <w:rPr>
          <w:rFonts w:asciiTheme="minorHAnsi" w:hAnsiTheme="minorHAnsi" w:cstheme="minorHAnsi"/>
          <w:sz w:val="24"/>
          <w:szCs w:val="24"/>
        </w:rPr>
        <w:t xml:space="preserve">green building technology. </w:t>
      </w:r>
    </w:p>
    <w:p w:rsidR="00184D19" w:rsidRPr="006D18F2" w:rsidRDefault="008D389C" w:rsidP="005576BB">
      <w:pPr>
        <w:pStyle w:val="ListParagraph"/>
        <w:numPr>
          <w:ilvl w:val="0"/>
          <w:numId w:val="18"/>
        </w:numPr>
        <w:rPr>
          <w:rFonts w:asciiTheme="minorHAnsi" w:hAnsiTheme="minorHAnsi" w:cstheme="minorHAnsi"/>
          <w:sz w:val="24"/>
          <w:szCs w:val="24"/>
        </w:rPr>
      </w:pPr>
      <w:r w:rsidRPr="006D18F2">
        <w:rPr>
          <w:rFonts w:asciiTheme="minorHAnsi" w:hAnsiTheme="minorHAnsi" w:cstheme="minorHAnsi"/>
          <w:sz w:val="24"/>
          <w:szCs w:val="24"/>
        </w:rPr>
        <w:t>CAP Feedback: there needs to further research and focus on</w:t>
      </w:r>
      <w:r w:rsidR="00522E34" w:rsidRPr="006D18F2">
        <w:rPr>
          <w:rFonts w:asciiTheme="minorHAnsi" w:hAnsiTheme="minorHAnsi" w:cstheme="minorHAnsi"/>
          <w:sz w:val="24"/>
          <w:szCs w:val="24"/>
        </w:rPr>
        <w:t xml:space="preserve"> build</w:t>
      </w:r>
      <w:r w:rsidRPr="006D18F2">
        <w:rPr>
          <w:rFonts w:asciiTheme="minorHAnsi" w:hAnsiTheme="minorHAnsi" w:cstheme="minorHAnsi"/>
          <w:sz w:val="24"/>
          <w:szCs w:val="24"/>
        </w:rPr>
        <w:t>ing the</w:t>
      </w:r>
      <w:r w:rsidR="00522E34" w:rsidRPr="006D18F2">
        <w:rPr>
          <w:rFonts w:asciiTheme="minorHAnsi" w:hAnsiTheme="minorHAnsi" w:cstheme="minorHAnsi"/>
          <w:sz w:val="24"/>
          <w:szCs w:val="24"/>
        </w:rPr>
        <w:t xml:space="preserve"> </w:t>
      </w:r>
      <w:r w:rsidR="00522E34" w:rsidRPr="006D18F2">
        <w:rPr>
          <w:rFonts w:asciiTheme="minorHAnsi" w:hAnsiTheme="minorHAnsi" w:cstheme="minorHAnsi"/>
          <w:noProof/>
          <w:sz w:val="24"/>
          <w:szCs w:val="24"/>
        </w:rPr>
        <w:t>economic</w:t>
      </w:r>
      <w:r w:rsidR="00522E34" w:rsidRPr="006D18F2">
        <w:rPr>
          <w:rFonts w:asciiTheme="minorHAnsi" w:hAnsiTheme="minorHAnsi" w:cstheme="minorHAnsi"/>
          <w:sz w:val="24"/>
          <w:szCs w:val="24"/>
        </w:rPr>
        <w:t xml:space="preserve"> case</w:t>
      </w:r>
      <w:r w:rsidRPr="006D18F2">
        <w:rPr>
          <w:rFonts w:asciiTheme="minorHAnsi" w:hAnsiTheme="minorHAnsi" w:cstheme="minorHAnsi"/>
          <w:sz w:val="24"/>
          <w:szCs w:val="24"/>
        </w:rPr>
        <w:t>—not just an environmental case—</w:t>
      </w:r>
      <w:r w:rsidR="00522E34" w:rsidRPr="006D18F2">
        <w:rPr>
          <w:rFonts w:asciiTheme="minorHAnsi" w:hAnsiTheme="minorHAnsi" w:cstheme="minorHAnsi"/>
          <w:sz w:val="24"/>
          <w:szCs w:val="24"/>
        </w:rPr>
        <w:t>for</w:t>
      </w:r>
      <w:r w:rsidRPr="006D18F2">
        <w:rPr>
          <w:rFonts w:asciiTheme="minorHAnsi" w:hAnsiTheme="minorHAnsi" w:cstheme="minorHAnsi"/>
          <w:sz w:val="24"/>
          <w:szCs w:val="24"/>
        </w:rPr>
        <w:t xml:space="preserve"> </w:t>
      </w:r>
      <w:r w:rsidR="006D18F2">
        <w:rPr>
          <w:rFonts w:asciiTheme="minorHAnsi" w:hAnsiTheme="minorHAnsi" w:cstheme="minorHAnsi"/>
          <w:sz w:val="24"/>
          <w:szCs w:val="24"/>
        </w:rPr>
        <w:t xml:space="preserve">the </w:t>
      </w:r>
      <w:r w:rsidR="00522E34" w:rsidRPr="006D18F2">
        <w:rPr>
          <w:rFonts w:asciiTheme="minorHAnsi" w:hAnsiTheme="minorHAnsi" w:cstheme="minorHAnsi"/>
          <w:sz w:val="24"/>
          <w:szCs w:val="24"/>
        </w:rPr>
        <w:t>Growth Plan</w:t>
      </w:r>
      <w:r w:rsidRPr="006D18F2">
        <w:rPr>
          <w:rFonts w:asciiTheme="minorHAnsi" w:hAnsiTheme="minorHAnsi" w:cstheme="minorHAnsi"/>
          <w:noProof/>
          <w:sz w:val="24"/>
          <w:szCs w:val="24"/>
        </w:rPr>
        <w:t>.</w:t>
      </w:r>
      <w:r w:rsidRPr="006D18F2">
        <w:rPr>
          <w:rFonts w:asciiTheme="minorHAnsi" w:hAnsiTheme="minorHAnsi" w:cstheme="minorHAnsi"/>
          <w:sz w:val="24"/>
          <w:szCs w:val="24"/>
        </w:rPr>
        <w:t xml:space="preserve"> Areas to look into </w:t>
      </w:r>
      <w:proofErr w:type="gramStart"/>
      <w:r w:rsidRPr="006D18F2">
        <w:rPr>
          <w:rFonts w:asciiTheme="minorHAnsi" w:hAnsiTheme="minorHAnsi" w:cstheme="minorHAnsi"/>
          <w:sz w:val="24"/>
          <w:szCs w:val="24"/>
        </w:rPr>
        <w:t>include</w:t>
      </w:r>
      <w:r w:rsidRPr="006D18F2">
        <w:rPr>
          <w:rFonts w:asciiTheme="minorHAnsi" w:hAnsiTheme="minorHAnsi" w:cstheme="minorHAnsi"/>
          <w:noProof/>
          <w:sz w:val="24"/>
          <w:szCs w:val="24"/>
        </w:rPr>
        <w:t>,</w:t>
      </w:r>
      <w:proofErr w:type="gramEnd"/>
      <w:r w:rsidRPr="006D18F2">
        <w:rPr>
          <w:rFonts w:asciiTheme="minorHAnsi" w:hAnsiTheme="minorHAnsi" w:cstheme="minorHAnsi"/>
          <w:noProof/>
          <w:sz w:val="24"/>
          <w:szCs w:val="24"/>
        </w:rPr>
        <w:t xml:space="preserve"> the consideration of </w:t>
      </w:r>
      <w:r w:rsidR="00522E34" w:rsidRPr="006D18F2">
        <w:rPr>
          <w:rFonts w:asciiTheme="minorHAnsi" w:hAnsiTheme="minorHAnsi" w:cstheme="minorHAnsi"/>
          <w:noProof/>
          <w:sz w:val="24"/>
          <w:szCs w:val="24"/>
        </w:rPr>
        <w:t>operation</w:t>
      </w:r>
      <w:r w:rsidR="00522E34" w:rsidRPr="006D18F2">
        <w:rPr>
          <w:rFonts w:asciiTheme="minorHAnsi" w:hAnsiTheme="minorHAnsi" w:cstheme="minorHAnsi"/>
          <w:sz w:val="24"/>
          <w:szCs w:val="24"/>
        </w:rPr>
        <w:t xml:space="preserve"> </w:t>
      </w:r>
      <w:r w:rsidR="006D18F2">
        <w:rPr>
          <w:rFonts w:asciiTheme="minorHAnsi" w:hAnsiTheme="minorHAnsi" w:cstheme="minorHAnsi"/>
          <w:sz w:val="24"/>
          <w:szCs w:val="24"/>
        </w:rPr>
        <w:t xml:space="preserve">and rehabilitation costs and revenues based on different land use archetypes. </w:t>
      </w:r>
    </w:p>
    <w:p w:rsidR="00184D19" w:rsidRDefault="006D18F2" w:rsidP="005576BB">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The other Clean Air Council Declaration Actions </w:t>
      </w:r>
      <w:proofErr w:type="gramStart"/>
      <w:r>
        <w:rPr>
          <w:rFonts w:asciiTheme="minorHAnsi" w:hAnsiTheme="minorHAnsi" w:cstheme="minorHAnsi"/>
          <w:b/>
          <w:sz w:val="24"/>
          <w:szCs w:val="24"/>
        </w:rPr>
        <w:t>will be addressed</w:t>
      </w:r>
      <w:proofErr w:type="gramEnd"/>
      <w:r>
        <w:rPr>
          <w:rFonts w:asciiTheme="minorHAnsi" w:hAnsiTheme="minorHAnsi" w:cstheme="minorHAnsi"/>
          <w:b/>
          <w:sz w:val="24"/>
          <w:szCs w:val="24"/>
        </w:rPr>
        <w:t xml:space="preserve"> as part of the Feb CAC meeting. </w:t>
      </w:r>
    </w:p>
    <w:p w:rsidR="006D18F2" w:rsidRDefault="006D18F2" w:rsidP="005576BB">
      <w:pPr>
        <w:spacing w:after="0" w:line="240" w:lineRule="auto"/>
        <w:rPr>
          <w:rFonts w:asciiTheme="minorHAnsi" w:hAnsiTheme="minorHAnsi" w:cstheme="minorHAnsi"/>
          <w:b/>
          <w:sz w:val="24"/>
          <w:szCs w:val="24"/>
        </w:rPr>
      </w:pPr>
    </w:p>
    <w:p w:rsidR="006D18F2" w:rsidRDefault="00500428" w:rsidP="005576BB">
      <w:pPr>
        <w:spacing w:after="0" w:line="240" w:lineRule="auto"/>
        <w:rPr>
          <w:rFonts w:asciiTheme="minorHAnsi" w:hAnsiTheme="minorHAnsi" w:cstheme="minorHAnsi"/>
          <w:b/>
          <w:sz w:val="24"/>
          <w:szCs w:val="24"/>
        </w:rPr>
      </w:pPr>
      <w:r>
        <w:rPr>
          <w:rFonts w:asciiTheme="minorHAnsi" w:hAnsiTheme="minorHAnsi" w:cstheme="minorHAnsi"/>
          <w:b/>
          <w:sz w:val="24"/>
          <w:szCs w:val="24"/>
        </w:rPr>
        <w:pict>
          <v:rect id="_x0000_i1025" style="width:0;height:1.5pt" o:hralign="center" o:hrstd="t" o:hr="t" fillcolor="#a0a0a0" stroked="f"/>
        </w:pict>
      </w:r>
    </w:p>
    <w:p w:rsidR="006D18F2" w:rsidRDefault="006D18F2" w:rsidP="005576BB">
      <w:pPr>
        <w:spacing w:after="0" w:line="240" w:lineRule="auto"/>
        <w:rPr>
          <w:rFonts w:asciiTheme="minorHAnsi" w:hAnsiTheme="minorHAnsi" w:cstheme="minorHAnsi"/>
          <w:b/>
          <w:sz w:val="24"/>
          <w:szCs w:val="24"/>
        </w:rPr>
      </w:pPr>
      <w:r>
        <w:rPr>
          <w:rFonts w:asciiTheme="minorHAnsi" w:hAnsiTheme="minorHAnsi" w:cstheme="minorHAnsi"/>
          <w:b/>
          <w:sz w:val="24"/>
          <w:szCs w:val="24"/>
        </w:rPr>
        <w:t>Presentations</w:t>
      </w:r>
    </w:p>
    <w:p w:rsidR="006D18F2" w:rsidRPr="005576BB" w:rsidRDefault="006D18F2" w:rsidP="005576BB">
      <w:pPr>
        <w:spacing w:after="0" w:line="240" w:lineRule="auto"/>
        <w:rPr>
          <w:rFonts w:asciiTheme="minorHAnsi" w:eastAsia="Times New Roman" w:hAnsiTheme="minorHAnsi" w:cstheme="minorHAnsi"/>
          <w:b/>
          <w:color w:val="000000" w:themeColor="text1"/>
          <w:sz w:val="24"/>
          <w:szCs w:val="24"/>
        </w:rPr>
      </w:pPr>
    </w:p>
    <w:p w:rsidR="00522E34" w:rsidRPr="005576BB" w:rsidRDefault="00522E34" w:rsidP="005576BB">
      <w:pPr>
        <w:pStyle w:val="Heading3"/>
        <w:jc w:val="left"/>
        <w:rPr>
          <w:rFonts w:asciiTheme="minorHAnsi" w:hAnsiTheme="minorHAnsi" w:cstheme="minorHAnsi"/>
          <w:sz w:val="24"/>
          <w:szCs w:val="24"/>
        </w:rPr>
      </w:pPr>
      <w:bookmarkStart w:id="13" w:name="_Toc505250358"/>
      <w:r w:rsidRPr="005576BB">
        <w:rPr>
          <w:rFonts w:asciiTheme="minorHAnsi" w:hAnsiTheme="minorHAnsi" w:cstheme="minorHAnsi"/>
          <w:sz w:val="24"/>
          <w:szCs w:val="24"/>
        </w:rPr>
        <w:t>Heather Watt, MOECC: GHG Guideline</w:t>
      </w:r>
      <w:bookmarkEnd w:id="13"/>
      <w:r w:rsidR="000D0CE3">
        <w:rPr>
          <w:rFonts w:asciiTheme="minorHAnsi" w:hAnsiTheme="minorHAnsi" w:cstheme="minorHAnsi"/>
          <w:sz w:val="24"/>
          <w:szCs w:val="24"/>
        </w:rPr>
        <w:br/>
      </w:r>
    </w:p>
    <w:p w:rsidR="00EE5A66" w:rsidRDefault="005A4BF0"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rPr>
        <w:t>The P</w:t>
      </w:r>
      <w:r w:rsidR="00104C17" w:rsidRPr="00EE5A66">
        <w:rPr>
          <w:rFonts w:asciiTheme="minorHAnsi" w:hAnsiTheme="minorHAnsi" w:cstheme="minorHAnsi"/>
          <w:sz w:val="24"/>
          <w:szCs w:val="24"/>
        </w:rPr>
        <w:t>urpose</w:t>
      </w:r>
      <w:r w:rsidR="006D18F2" w:rsidRPr="00EE5A66">
        <w:rPr>
          <w:rFonts w:asciiTheme="minorHAnsi" w:hAnsiTheme="minorHAnsi" w:cstheme="minorHAnsi"/>
          <w:sz w:val="24"/>
          <w:szCs w:val="24"/>
        </w:rPr>
        <w:t xml:space="preserve"> of the draft Guideline</w:t>
      </w:r>
      <w:r w:rsidR="007C3BEB" w:rsidRPr="00EE5A66">
        <w:rPr>
          <w:rFonts w:asciiTheme="minorHAnsi" w:hAnsiTheme="minorHAnsi" w:cstheme="minorHAnsi"/>
          <w:sz w:val="24"/>
          <w:szCs w:val="24"/>
        </w:rPr>
        <w:t xml:space="preserve"> </w:t>
      </w:r>
      <w:r w:rsidR="00104C17" w:rsidRPr="00EE5A66">
        <w:rPr>
          <w:rFonts w:asciiTheme="minorHAnsi" w:hAnsiTheme="minorHAnsi" w:cstheme="minorHAnsi"/>
          <w:sz w:val="24"/>
          <w:szCs w:val="24"/>
        </w:rPr>
        <w:t>is to</w:t>
      </w:r>
      <w:r w:rsidR="00EE5A66" w:rsidRPr="00EE5A66">
        <w:rPr>
          <w:rFonts w:asciiTheme="minorHAnsi" w:hAnsiTheme="minorHAnsi" w:cstheme="minorHAnsi"/>
          <w:sz w:val="24"/>
          <w:szCs w:val="24"/>
        </w:rPr>
        <w:t xml:space="preserve"> provide assistance to municipalities on how to develop </w:t>
      </w:r>
      <w:r w:rsidRPr="00EE5A66">
        <w:rPr>
          <w:rFonts w:asciiTheme="minorHAnsi" w:hAnsiTheme="minorHAnsi" w:cstheme="minorHAnsi"/>
          <w:sz w:val="24"/>
          <w:szCs w:val="24"/>
        </w:rPr>
        <w:t>emission</w:t>
      </w:r>
      <w:r w:rsidR="00104C17" w:rsidRPr="00EE5A66">
        <w:rPr>
          <w:rFonts w:asciiTheme="minorHAnsi" w:hAnsiTheme="minorHAnsi" w:cstheme="minorHAnsi"/>
          <w:sz w:val="24"/>
          <w:szCs w:val="24"/>
        </w:rPr>
        <w:t xml:space="preserve"> inventories, reduction targets and GHG reduction plans. This guideline takes into consideration </w:t>
      </w:r>
      <w:r w:rsidR="00BF581C" w:rsidRPr="00EE5A66">
        <w:rPr>
          <w:rFonts w:asciiTheme="minorHAnsi" w:hAnsiTheme="minorHAnsi" w:cstheme="minorHAnsi"/>
          <w:sz w:val="24"/>
          <w:szCs w:val="24"/>
        </w:rPr>
        <w:t xml:space="preserve">municipalities with various levels of progression </w:t>
      </w:r>
      <w:r w:rsidR="007C3BEB" w:rsidRPr="00EE5A66">
        <w:rPr>
          <w:rFonts w:asciiTheme="minorHAnsi" w:hAnsiTheme="minorHAnsi" w:cstheme="minorHAnsi"/>
          <w:sz w:val="24"/>
          <w:szCs w:val="24"/>
        </w:rPr>
        <w:t xml:space="preserve">and ambition; </w:t>
      </w:r>
      <w:r w:rsidR="007C3BEB" w:rsidRPr="00EE5A66">
        <w:rPr>
          <w:rFonts w:asciiTheme="minorHAnsi" w:hAnsiTheme="minorHAnsi" w:cstheme="minorHAnsi"/>
          <w:sz w:val="24"/>
          <w:szCs w:val="24"/>
        </w:rPr>
        <w:lastRenderedPageBreak/>
        <w:t>and therefore, offers various resources that cater to basic, intermediate, and advanced levels of complexity.</w:t>
      </w:r>
    </w:p>
    <w:p w:rsidR="00EE5A66" w:rsidRDefault="00BF581C" w:rsidP="00EE5A66">
      <w:pPr>
        <w:pStyle w:val="ListParagraph"/>
        <w:numPr>
          <w:ilvl w:val="0"/>
          <w:numId w:val="19"/>
        </w:numPr>
        <w:rPr>
          <w:rFonts w:asciiTheme="minorHAnsi" w:hAnsiTheme="minorHAnsi" w:cstheme="minorHAnsi"/>
          <w:sz w:val="24"/>
          <w:szCs w:val="24"/>
        </w:rPr>
      </w:pPr>
      <w:proofErr w:type="gramStart"/>
      <w:r w:rsidRPr="00EE5A66">
        <w:rPr>
          <w:rFonts w:asciiTheme="minorHAnsi" w:hAnsiTheme="minorHAnsi" w:cstheme="minorHAnsi"/>
          <w:sz w:val="24"/>
          <w:szCs w:val="24"/>
        </w:rPr>
        <w:t xml:space="preserve">There are four provincial policies that help support the development of the </w:t>
      </w:r>
      <w:r w:rsidR="007C3BEB" w:rsidRPr="00EE5A66">
        <w:rPr>
          <w:rFonts w:asciiTheme="minorHAnsi" w:hAnsiTheme="minorHAnsi" w:cstheme="minorHAnsi"/>
          <w:sz w:val="24"/>
          <w:szCs w:val="24"/>
        </w:rPr>
        <w:t>GHG Guidelines:</w:t>
      </w:r>
      <w:r w:rsidRPr="00EE5A66">
        <w:rPr>
          <w:rFonts w:asciiTheme="minorHAnsi" w:hAnsiTheme="minorHAnsi" w:cstheme="minorHAnsi"/>
          <w:sz w:val="24"/>
          <w:szCs w:val="24"/>
        </w:rPr>
        <w:t xml:space="preserve"> Climate Change Action Plan that provided funding and guidance</w:t>
      </w:r>
      <w:r w:rsidR="007C3BEB" w:rsidRPr="00EE5A66">
        <w:rPr>
          <w:rFonts w:asciiTheme="minorHAnsi" w:hAnsiTheme="minorHAnsi" w:cstheme="minorHAnsi"/>
          <w:sz w:val="24"/>
          <w:szCs w:val="24"/>
        </w:rPr>
        <w:t xml:space="preserve"> opportunities;</w:t>
      </w:r>
      <w:r w:rsidRPr="00EE5A66">
        <w:rPr>
          <w:rFonts w:asciiTheme="minorHAnsi" w:hAnsiTheme="minorHAnsi" w:cstheme="minorHAnsi"/>
          <w:sz w:val="24"/>
          <w:szCs w:val="24"/>
        </w:rPr>
        <w:t xml:space="preserve"> the Greater Golden Horseshoe Growth Plan encouraged GHG community and corporate GHG inventories and </w:t>
      </w:r>
      <w:r w:rsidR="007C3BEB" w:rsidRPr="00EE5A66">
        <w:rPr>
          <w:rFonts w:asciiTheme="minorHAnsi" w:hAnsiTheme="minorHAnsi" w:cstheme="minorHAnsi"/>
          <w:sz w:val="24"/>
          <w:szCs w:val="24"/>
        </w:rPr>
        <w:t>the incorporation of climate c</w:t>
      </w:r>
      <w:r w:rsidRPr="00EE5A66">
        <w:rPr>
          <w:rFonts w:asciiTheme="minorHAnsi" w:hAnsiTheme="minorHAnsi" w:cstheme="minorHAnsi"/>
          <w:sz w:val="24"/>
          <w:szCs w:val="24"/>
        </w:rPr>
        <w:t>hange adaptation and mitigation</w:t>
      </w:r>
      <w:r w:rsidR="007C3BEB" w:rsidRPr="00EE5A66">
        <w:rPr>
          <w:rFonts w:asciiTheme="minorHAnsi" w:hAnsiTheme="minorHAnsi" w:cstheme="minorHAnsi"/>
          <w:sz w:val="24"/>
          <w:szCs w:val="24"/>
        </w:rPr>
        <w:t xml:space="preserve"> into Official Plans;</w:t>
      </w:r>
      <w:r w:rsidRPr="00EE5A66">
        <w:rPr>
          <w:rFonts w:asciiTheme="minorHAnsi" w:hAnsiTheme="minorHAnsi" w:cstheme="minorHAnsi"/>
          <w:sz w:val="24"/>
          <w:szCs w:val="24"/>
        </w:rPr>
        <w:t xml:space="preserve"> a Provincial Policy Statement that establishes Climate Change as a provincial issue, and the Long-Term Energy</w:t>
      </w:r>
      <w:r w:rsidR="00DA5058" w:rsidRPr="00EE5A66">
        <w:rPr>
          <w:rFonts w:asciiTheme="minorHAnsi" w:hAnsiTheme="minorHAnsi" w:cstheme="minorHAnsi"/>
          <w:sz w:val="24"/>
          <w:szCs w:val="24"/>
        </w:rPr>
        <w:t xml:space="preserve"> </w:t>
      </w:r>
      <w:r w:rsidR="007C3BEB" w:rsidRPr="00EE5A66">
        <w:rPr>
          <w:rFonts w:asciiTheme="minorHAnsi" w:hAnsiTheme="minorHAnsi" w:cstheme="minorHAnsi"/>
          <w:sz w:val="24"/>
          <w:szCs w:val="24"/>
        </w:rPr>
        <w:t>Plan</w:t>
      </w:r>
      <w:r w:rsidR="00EE5A66">
        <w:rPr>
          <w:rFonts w:asciiTheme="minorHAnsi" w:hAnsiTheme="minorHAnsi" w:cstheme="minorHAnsi"/>
          <w:sz w:val="24"/>
          <w:szCs w:val="24"/>
        </w:rPr>
        <w:t>.</w:t>
      </w:r>
      <w:proofErr w:type="gramEnd"/>
      <w:r w:rsidR="00EE5A66">
        <w:rPr>
          <w:rFonts w:asciiTheme="minorHAnsi" w:hAnsiTheme="minorHAnsi" w:cstheme="minorHAnsi"/>
          <w:sz w:val="24"/>
          <w:szCs w:val="24"/>
        </w:rPr>
        <w:t xml:space="preserve"> </w:t>
      </w:r>
    </w:p>
    <w:p w:rsidR="00EE5A66" w:rsidRDefault="00BD6C05"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rPr>
        <w:t xml:space="preserve">It aims to encourage Official Plan </w:t>
      </w:r>
      <w:r w:rsidR="005A4BF0" w:rsidRPr="00EE5A66">
        <w:rPr>
          <w:rFonts w:asciiTheme="minorHAnsi" w:hAnsiTheme="minorHAnsi" w:cstheme="minorHAnsi"/>
          <w:sz w:val="24"/>
          <w:szCs w:val="24"/>
        </w:rPr>
        <w:t>conformity</w:t>
      </w:r>
      <w:r w:rsidRPr="00EE5A66">
        <w:rPr>
          <w:rFonts w:asciiTheme="minorHAnsi" w:hAnsiTheme="minorHAnsi" w:cstheme="minorHAnsi"/>
          <w:sz w:val="24"/>
          <w:szCs w:val="24"/>
        </w:rPr>
        <w:t xml:space="preserve"> as a </w:t>
      </w:r>
      <w:r w:rsidR="00C10B3A" w:rsidRPr="00EE5A66">
        <w:rPr>
          <w:rFonts w:asciiTheme="minorHAnsi" w:hAnsiTheme="minorHAnsi" w:cstheme="minorHAnsi"/>
          <w:sz w:val="24"/>
          <w:szCs w:val="24"/>
        </w:rPr>
        <w:t>selling point</w:t>
      </w:r>
      <w:r w:rsidR="005A4BF0" w:rsidRPr="00EE5A66">
        <w:rPr>
          <w:rFonts w:asciiTheme="minorHAnsi" w:hAnsiTheme="minorHAnsi" w:cstheme="minorHAnsi"/>
          <w:sz w:val="24"/>
          <w:szCs w:val="24"/>
        </w:rPr>
        <w:t xml:space="preserve"> to consider GHG emission reduction goals as expressed in the Growth Plan. </w:t>
      </w:r>
      <w:r w:rsidR="00C10B3A" w:rsidRPr="00EE5A66">
        <w:rPr>
          <w:rFonts w:asciiTheme="minorHAnsi" w:hAnsiTheme="minorHAnsi" w:cstheme="minorHAnsi"/>
          <w:sz w:val="24"/>
          <w:szCs w:val="24"/>
        </w:rPr>
        <w:t xml:space="preserve"> </w:t>
      </w:r>
      <w:proofErr w:type="gramStart"/>
      <w:r w:rsidR="005A4BF0" w:rsidRPr="00EE5A66">
        <w:rPr>
          <w:rFonts w:asciiTheme="minorHAnsi" w:hAnsiTheme="minorHAnsi" w:cstheme="minorHAnsi"/>
          <w:sz w:val="24"/>
          <w:szCs w:val="24"/>
        </w:rPr>
        <w:t>M</w:t>
      </w:r>
      <w:r w:rsidR="00C10B3A" w:rsidRPr="00EE5A66">
        <w:rPr>
          <w:rFonts w:asciiTheme="minorHAnsi" w:hAnsiTheme="minorHAnsi" w:cstheme="minorHAnsi"/>
          <w:sz w:val="24"/>
          <w:szCs w:val="24"/>
        </w:rPr>
        <w:t>unicipalities</w:t>
      </w:r>
      <w:proofErr w:type="gramEnd"/>
      <w:r w:rsidR="00C10B3A" w:rsidRPr="00EE5A66">
        <w:rPr>
          <w:rFonts w:asciiTheme="minorHAnsi" w:hAnsiTheme="minorHAnsi" w:cstheme="minorHAnsi"/>
          <w:sz w:val="24"/>
          <w:szCs w:val="24"/>
        </w:rPr>
        <w:t xml:space="preserve"> already undertaking GHG emission reduction goals have</w:t>
      </w:r>
      <w:r w:rsidR="007C3BEB" w:rsidRPr="00EE5A66">
        <w:rPr>
          <w:rFonts w:asciiTheme="minorHAnsi" w:hAnsiTheme="minorHAnsi" w:cstheme="minorHAnsi"/>
          <w:sz w:val="24"/>
          <w:szCs w:val="24"/>
        </w:rPr>
        <w:t xml:space="preserve"> an easier application process to </w:t>
      </w:r>
      <w:r w:rsidR="005A4BF0" w:rsidRPr="00EE5A66">
        <w:rPr>
          <w:rFonts w:asciiTheme="minorHAnsi" w:hAnsiTheme="minorHAnsi" w:cstheme="minorHAnsi"/>
          <w:sz w:val="24"/>
          <w:szCs w:val="24"/>
        </w:rPr>
        <w:t xml:space="preserve">provincial </w:t>
      </w:r>
      <w:r w:rsidR="007C3BEB" w:rsidRPr="00EE5A66">
        <w:rPr>
          <w:rFonts w:asciiTheme="minorHAnsi" w:hAnsiTheme="minorHAnsi" w:cstheme="minorHAnsi"/>
          <w:sz w:val="24"/>
          <w:szCs w:val="24"/>
        </w:rPr>
        <w:t xml:space="preserve">funding </w:t>
      </w:r>
      <w:r w:rsidR="005A4BF0" w:rsidRPr="00EE5A66">
        <w:rPr>
          <w:rFonts w:asciiTheme="minorHAnsi" w:hAnsiTheme="minorHAnsi" w:cstheme="minorHAnsi"/>
          <w:sz w:val="24"/>
          <w:szCs w:val="24"/>
        </w:rPr>
        <w:t>opportunities. The GHG Guideline is in alignment with the PCP program administered by FCM.</w:t>
      </w:r>
      <w:r w:rsidR="00823A69" w:rsidRPr="00EE5A66">
        <w:rPr>
          <w:rFonts w:asciiTheme="minorHAnsi" w:hAnsiTheme="minorHAnsi" w:cstheme="minorHAnsi"/>
          <w:sz w:val="24"/>
          <w:szCs w:val="24"/>
        </w:rPr>
        <w:t xml:space="preserve"> </w:t>
      </w:r>
    </w:p>
    <w:p w:rsidR="00EE5A66" w:rsidRDefault="000B291B"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Stage 1 Preparation:</w:t>
      </w:r>
      <w:r w:rsidRPr="00EE5A66">
        <w:rPr>
          <w:rFonts w:asciiTheme="minorHAnsi" w:hAnsiTheme="minorHAnsi" w:cstheme="minorHAnsi"/>
          <w:sz w:val="24"/>
          <w:szCs w:val="24"/>
        </w:rPr>
        <w:t xml:space="preserve"> </w:t>
      </w:r>
      <w:r w:rsidR="005A4BF0" w:rsidRPr="00EE5A66">
        <w:rPr>
          <w:rFonts w:asciiTheme="minorHAnsi" w:hAnsiTheme="minorHAnsi" w:cstheme="minorHAnsi"/>
          <w:sz w:val="24"/>
          <w:szCs w:val="24"/>
        </w:rPr>
        <w:t xml:space="preserve">Municipalities are encouraged to identify key stakeholders, </w:t>
      </w:r>
      <w:r w:rsidR="00823A69" w:rsidRPr="00EE5A66">
        <w:rPr>
          <w:rFonts w:asciiTheme="minorHAnsi" w:hAnsiTheme="minorHAnsi" w:cstheme="minorHAnsi"/>
          <w:sz w:val="24"/>
          <w:szCs w:val="24"/>
        </w:rPr>
        <w:t>potential engagement opportunities, and review their</w:t>
      </w:r>
      <w:r w:rsidR="00554469">
        <w:rPr>
          <w:rFonts w:asciiTheme="minorHAnsi" w:hAnsiTheme="minorHAnsi" w:cstheme="minorHAnsi"/>
          <w:sz w:val="24"/>
          <w:szCs w:val="24"/>
        </w:rPr>
        <w:t xml:space="preserve"> existing OP climate change language</w:t>
      </w:r>
      <w:r w:rsidR="00823A69" w:rsidRPr="00EE5A66">
        <w:rPr>
          <w:rFonts w:asciiTheme="minorHAnsi" w:hAnsiTheme="minorHAnsi" w:cstheme="minorHAnsi"/>
          <w:sz w:val="24"/>
          <w:szCs w:val="24"/>
        </w:rPr>
        <w:t>. During this process, m</w:t>
      </w:r>
      <w:r w:rsidR="005A4BF0" w:rsidRPr="00EE5A66">
        <w:rPr>
          <w:rFonts w:asciiTheme="minorHAnsi" w:hAnsiTheme="minorHAnsi" w:cstheme="minorHAnsi"/>
          <w:sz w:val="24"/>
          <w:szCs w:val="24"/>
        </w:rPr>
        <w:t>unicipalities undertake usual planning practices that include s</w:t>
      </w:r>
      <w:r w:rsidR="005920D1" w:rsidRPr="00EE5A66">
        <w:rPr>
          <w:rFonts w:asciiTheme="minorHAnsi" w:hAnsiTheme="minorHAnsi" w:cstheme="minorHAnsi"/>
          <w:sz w:val="24"/>
          <w:szCs w:val="24"/>
        </w:rPr>
        <w:t>itua</w:t>
      </w:r>
      <w:r w:rsidR="005A4BF0" w:rsidRPr="00EE5A66">
        <w:rPr>
          <w:rFonts w:asciiTheme="minorHAnsi" w:hAnsiTheme="minorHAnsi" w:cstheme="minorHAnsi"/>
          <w:sz w:val="24"/>
          <w:szCs w:val="24"/>
        </w:rPr>
        <w:t>tional analysis, looking at local</w:t>
      </w:r>
      <w:r w:rsidR="005920D1" w:rsidRPr="00EE5A66">
        <w:rPr>
          <w:rFonts w:asciiTheme="minorHAnsi" w:hAnsiTheme="minorHAnsi" w:cstheme="minorHAnsi"/>
          <w:sz w:val="24"/>
          <w:szCs w:val="24"/>
        </w:rPr>
        <w:t xml:space="preserve"> demographics, </w:t>
      </w:r>
      <w:r w:rsidR="005A4BF0" w:rsidRPr="00EE5A66">
        <w:rPr>
          <w:rFonts w:asciiTheme="minorHAnsi" w:hAnsiTheme="minorHAnsi" w:cstheme="minorHAnsi"/>
          <w:sz w:val="24"/>
          <w:szCs w:val="24"/>
        </w:rPr>
        <w:t xml:space="preserve">addressing which relevant </w:t>
      </w:r>
      <w:r w:rsidR="00554469">
        <w:rPr>
          <w:rFonts w:asciiTheme="minorHAnsi" w:hAnsiTheme="minorHAnsi" w:cstheme="minorHAnsi"/>
          <w:sz w:val="24"/>
          <w:szCs w:val="24"/>
        </w:rPr>
        <w:t xml:space="preserve">Plans and </w:t>
      </w:r>
      <w:r w:rsidR="005920D1" w:rsidRPr="00EE5A66">
        <w:rPr>
          <w:rFonts w:asciiTheme="minorHAnsi" w:hAnsiTheme="minorHAnsi" w:cstheme="minorHAnsi"/>
          <w:sz w:val="24"/>
          <w:szCs w:val="24"/>
        </w:rPr>
        <w:t xml:space="preserve">policies are </w:t>
      </w:r>
      <w:r w:rsidR="00EE5A66" w:rsidRPr="00EE5A66">
        <w:rPr>
          <w:rFonts w:asciiTheme="minorHAnsi" w:hAnsiTheme="minorHAnsi" w:cstheme="minorHAnsi"/>
          <w:sz w:val="24"/>
          <w:szCs w:val="24"/>
        </w:rPr>
        <w:t>applicable</w:t>
      </w:r>
      <w:r w:rsidR="00EE5A66">
        <w:rPr>
          <w:rFonts w:asciiTheme="minorHAnsi" w:hAnsiTheme="minorHAnsi" w:cstheme="minorHAnsi"/>
          <w:sz w:val="24"/>
          <w:szCs w:val="24"/>
        </w:rPr>
        <w:t xml:space="preserve"> (ex.</w:t>
      </w:r>
      <w:r w:rsidR="005920D1" w:rsidRPr="00EE5A66">
        <w:rPr>
          <w:rFonts w:asciiTheme="minorHAnsi" w:hAnsiTheme="minorHAnsi" w:cstheme="minorHAnsi"/>
          <w:sz w:val="24"/>
          <w:szCs w:val="24"/>
        </w:rPr>
        <w:t xml:space="preserve"> transportation </w:t>
      </w:r>
      <w:r w:rsidR="005A4BF0" w:rsidRPr="00EE5A66">
        <w:rPr>
          <w:rFonts w:asciiTheme="minorHAnsi" w:hAnsiTheme="minorHAnsi" w:cstheme="minorHAnsi"/>
          <w:sz w:val="24"/>
          <w:szCs w:val="24"/>
        </w:rPr>
        <w:t xml:space="preserve">demand management strategies, </w:t>
      </w:r>
      <w:r w:rsidR="00EE5A66">
        <w:rPr>
          <w:rFonts w:asciiTheme="minorHAnsi" w:hAnsiTheme="minorHAnsi" w:cstheme="minorHAnsi"/>
          <w:sz w:val="24"/>
          <w:szCs w:val="24"/>
        </w:rPr>
        <w:t>etc.).</w:t>
      </w:r>
      <w:r w:rsidR="005A4BF0" w:rsidRPr="00EE5A66">
        <w:rPr>
          <w:rFonts w:asciiTheme="minorHAnsi" w:hAnsiTheme="minorHAnsi" w:cstheme="minorHAnsi"/>
          <w:sz w:val="24"/>
          <w:szCs w:val="24"/>
        </w:rPr>
        <w:t xml:space="preserve"> </w:t>
      </w:r>
      <w:r w:rsidR="00EE5A66">
        <w:rPr>
          <w:rFonts w:asciiTheme="minorHAnsi" w:hAnsiTheme="minorHAnsi" w:cstheme="minorHAnsi"/>
          <w:sz w:val="24"/>
          <w:szCs w:val="24"/>
        </w:rPr>
        <w:t xml:space="preserve">The appendices include a variety of resources including </w:t>
      </w:r>
      <w:r w:rsidR="005A4BF0" w:rsidRPr="00EE5A66">
        <w:rPr>
          <w:rFonts w:asciiTheme="minorHAnsi" w:hAnsiTheme="minorHAnsi" w:cstheme="minorHAnsi"/>
          <w:sz w:val="24"/>
          <w:szCs w:val="24"/>
        </w:rPr>
        <w:t xml:space="preserve">sample terms of reference, lists of </w:t>
      </w:r>
      <w:r w:rsidR="005920D1" w:rsidRPr="00EE5A66">
        <w:rPr>
          <w:rFonts w:asciiTheme="minorHAnsi" w:hAnsiTheme="minorHAnsi" w:cstheme="minorHAnsi"/>
          <w:sz w:val="24"/>
          <w:szCs w:val="24"/>
        </w:rPr>
        <w:t>who would be involved</w:t>
      </w:r>
      <w:r w:rsidR="005A4BF0" w:rsidRPr="00EE5A66">
        <w:rPr>
          <w:rFonts w:asciiTheme="minorHAnsi" w:hAnsiTheme="minorHAnsi" w:cstheme="minorHAnsi"/>
          <w:sz w:val="24"/>
          <w:szCs w:val="24"/>
        </w:rPr>
        <w:t xml:space="preserve"> during the community outreach/stakeholder </w:t>
      </w:r>
      <w:r w:rsidR="00EE5A66" w:rsidRPr="00EE5A66">
        <w:rPr>
          <w:rFonts w:asciiTheme="minorHAnsi" w:hAnsiTheme="minorHAnsi" w:cstheme="minorHAnsi"/>
          <w:sz w:val="24"/>
          <w:szCs w:val="24"/>
        </w:rPr>
        <w:t>engagement</w:t>
      </w:r>
      <w:r w:rsidR="005A4BF0" w:rsidRPr="00EE5A66">
        <w:rPr>
          <w:rFonts w:asciiTheme="minorHAnsi" w:hAnsiTheme="minorHAnsi" w:cstheme="minorHAnsi"/>
          <w:sz w:val="24"/>
          <w:szCs w:val="24"/>
        </w:rPr>
        <w:t xml:space="preserve"> and a suggested </w:t>
      </w:r>
      <w:r w:rsidR="00823A69" w:rsidRPr="00EE5A66">
        <w:rPr>
          <w:rFonts w:asciiTheme="minorHAnsi" w:hAnsiTheme="minorHAnsi" w:cstheme="minorHAnsi"/>
          <w:sz w:val="24"/>
          <w:szCs w:val="24"/>
        </w:rPr>
        <w:t xml:space="preserve">timeline schedule template are some of the tools available. </w:t>
      </w:r>
    </w:p>
    <w:p w:rsidR="00EE5A66" w:rsidRDefault="000B291B"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Stage 2 Inventory:</w:t>
      </w:r>
      <w:r w:rsidRPr="00EE5A66">
        <w:rPr>
          <w:rFonts w:asciiTheme="minorHAnsi" w:hAnsiTheme="minorHAnsi" w:cstheme="minorHAnsi"/>
          <w:sz w:val="24"/>
          <w:szCs w:val="24"/>
        </w:rPr>
        <w:t xml:space="preserve"> addresses the importance of inventories, how to retrieve data from a variety of sources</w:t>
      </w:r>
      <w:r w:rsidR="00823A69" w:rsidRPr="00EE5A66">
        <w:rPr>
          <w:rFonts w:asciiTheme="minorHAnsi" w:hAnsiTheme="minorHAnsi" w:cstheme="minorHAnsi"/>
          <w:sz w:val="24"/>
          <w:szCs w:val="24"/>
        </w:rPr>
        <w:t>, and</w:t>
      </w:r>
      <w:r w:rsidRPr="00EE5A66">
        <w:rPr>
          <w:rFonts w:asciiTheme="minorHAnsi" w:hAnsiTheme="minorHAnsi" w:cstheme="minorHAnsi"/>
          <w:sz w:val="24"/>
          <w:szCs w:val="24"/>
        </w:rPr>
        <w:t xml:space="preserve"> </w:t>
      </w:r>
      <w:r w:rsidR="00823A69" w:rsidRPr="00EE5A66">
        <w:rPr>
          <w:rFonts w:asciiTheme="minorHAnsi" w:hAnsiTheme="minorHAnsi" w:cstheme="minorHAnsi"/>
          <w:sz w:val="24"/>
          <w:szCs w:val="24"/>
        </w:rPr>
        <w:t>advocates for the development of both a co</w:t>
      </w:r>
      <w:r w:rsidR="00EE5A66">
        <w:rPr>
          <w:rFonts w:asciiTheme="minorHAnsi" w:hAnsiTheme="minorHAnsi" w:cstheme="minorHAnsi"/>
          <w:sz w:val="24"/>
          <w:szCs w:val="24"/>
        </w:rPr>
        <w:t xml:space="preserve">mmunity and corporate inventory. </w:t>
      </w:r>
      <w:r w:rsidR="00FD58C9" w:rsidRPr="00EE5A66">
        <w:rPr>
          <w:rFonts w:asciiTheme="minorHAnsi" w:hAnsiTheme="minorHAnsi" w:cstheme="minorHAnsi"/>
          <w:sz w:val="24"/>
          <w:szCs w:val="24"/>
        </w:rPr>
        <w:t>The guideline understands and considers:</w:t>
      </w:r>
      <w:r w:rsidR="00EE5A66">
        <w:rPr>
          <w:rFonts w:asciiTheme="minorHAnsi" w:hAnsiTheme="minorHAnsi" w:cstheme="minorHAnsi"/>
          <w:sz w:val="24"/>
          <w:szCs w:val="24"/>
        </w:rPr>
        <w:t xml:space="preserve"> </w:t>
      </w:r>
      <w:r w:rsidR="00554469">
        <w:rPr>
          <w:rFonts w:asciiTheme="minorHAnsi" w:hAnsiTheme="minorHAnsi" w:cstheme="minorHAnsi"/>
          <w:sz w:val="24"/>
          <w:szCs w:val="24"/>
        </w:rPr>
        <w:t>d</w:t>
      </w:r>
      <w:r w:rsidR="00FD58C9" w:rsidRPr="00EE5A66">
        <w:rPr>
          <w:rFonts w:asciiTheme="minorHAnsi" w:hAnsiTheme="minorHAnsi" w:cstheme="minorHAnsi"/>
          <w:sz w:val="24"/>
          <w:szCs w:val="24"/>
        </w:rPr>
        <w:t>ifferent tiers and their varying jurisdictional controls</w:t>
      </w:r>
      <w:r w:rsidR="00EE5A66">
        <w:rPr>
          <w:rFonts w:asciiTheme="minorHAnsi" w:hAnsiTheme="minorHAnsi" w:cstheme="minorHAnsi"/>
          <w:sz w:val="24"/>
          <w:szCs w:val="24"/>
        </w:rPr>
        <w:t>; as well as c</w:t>
      </w:r>
      <w:r w:rsidR="00554469">
        <w:rPr>
          <w:rFonts w:asciiTheme="minorHAnsi" w:hAnsiTheme="minorHAnsi" w:cstheme="minorHAnsi"/>
          <w:sz w:val="24"/>
          <w:szCs w:val="24"/>
        </w:rPr>
        <w:t>apital investment avail</w:t>
      </w:r>
      <w:r w:rsidR="00FD58C9" w:rsidRPr="00EE5A66">
        <w:rPr>
          <w:rFonts w:asciiTheme="minorHAnsi" w:hAnsiTheme="minorHAnsi" w:cstheme="minorHAnsi"/>
          <w:sz w:val="24"/>
          <w:szCs w:val="24"/>
        </w:rPr>
        <w:t>ability</w:t>
      </w:r>
    </w:p>
    <w:p w:rsidR="00EE5A66" w:rsidRDefault="00823A69"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rPr>
        <w:t>In the appendix, municipalities have access to a sample data request form (the province is interested in receiving feedback as to the associated data acquisition costs and who the municipalities would be reaching out to).</w:t>
      </w:r>
    </w:p>
    <w:p w:rsidR="00EE5A66" w:rsidRDefault="00E04E3A"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Stage 3 Target:</w:t>
      </w:r>
      <w:r w:rsidR="00843D58" w:rsidRPr="00EE5A66">
        <w:rPr>
          <w:rFonts w:asciiTheme="minorHAnsi" w:hAnsiTheme="minorHAnsi" w:cstheme="minorHAnsi"/>
          <w:sz w:val="24"/>
          <w:szCs w:val="24"/>
        </w:rPr>
        <w:t xml:space="preserve"> The GHG Guideline</w:t>
      </w:r>
      <w:r w:rsidRPr="00EE5A66">
        <w:rPr>
          <w:rFonts w:asciiTheme="minorHAnsi" w:hAnsiTheme="minorHAnsi" w:cstheme="minorHAnsi"/>
          <w:sz w:val="24"/>
          <w:szCs w:val="24"/>
        </w:rPr>
        <w:t xml:space="preserve"> </w:t>
      </w:r>
      <w:r w:rsidRPr="00EE5A66">
        <w:rPr>
          <w:rFonts w:asciiTheme="minorHAnsi" w:hAnsiTheme="minorHAnsi" w:cstheme="minorHAnsi"/>
          <w:noProof/>
          <w:sz w:val="24"/>
          <w:szCs w:val="24"/>
        </w:rPr>
        <w:t>encourages</w:t>
      </w:r>
      <w:r w:rsidRPr="00EE5A66">
        <w:rPr>
          <w:rFonts w:asciiTheme="minorHAnsi" w:hAnsiTheme="minorHAnsi" w:cstheme="minorHAnsi"/>
          <w:sz w:val="24"/>
          <w:szCs w:val="24"/>
        </w:rPr>
        <w:t xml:space="preserve"> provincial GHG reduction target goals</w:t>
      </w:r>
      <w:r w:rsidR="00823A69" w:rsidRPr="00EE5A66">
        <w:rPr>
          <w:rFonts w:asciiTheme="minorHAnsi" w:hAnsiTheme="minorHAnsi" w:cstheme="minorHAnsi"/>
          <w:sz w:val="24"/>
          <w:szCs w:val="24"/>
        </w:rPr>
        <w:t>,</w:t>
      </w:r>
      <w:r w:rsidRPr="00EE5A66">
        <w:rPr>
          <w:rFonts w:asciiTheme="minorHAnsi" w:hAnsiTheme="minorHAnsi" w:cstheme="minorHAnsi"/>
          <w:sz w:val="24"/>
          <w:szCs w:val="24"/>
        </w:rPr>
        <w:t xml:space="preserve"> population projections available</w:t>
      </w:r>
      <w:r w:rsidR="00823A69" w:rsidRPr="00EE5A66">
        <w:rPr>
          <w:rFonts w:asciiTheme="minorHAnsi" w:hAnsiTheme="minorHAnsi" w:cstheme="minorHAnsi"/>
          <w:sz w:val="24"/>
          <w:szCs w:val="24"/>
        </w:rPr>
        <w:t xml:space="preserve"> up until 2041</w:t>
      </w:r>
      <w:r w:rsidRPr="00EE5A66">
        <w:rPr>
          <w:rFonts w:asciiTheme="minorHAnsi" w:hAnsiTheme="minorHAnsi" w:cstheme="minorHAnsi"/>
          <w:sz w:val="24"/>
          <w:szCs w:val="24"/>
        </w:rPr>
        <w:t xml:space="preserve"> with a </w:t>
      </w:r>
      <w:r w:rsidR="00EE5A66">
        <w:rPr>
          <w:rFonts w:asciiTheme="minorHAnsi" w:hAnsiTheme="minorHAnsi" w:cstheme="minorHAnsi"/>
          <w:sz w:val="24"/>
          <w:szCs w:val="24"/>
        </w:rPr>
        <w:t xml:space="preserve">sample </w:t>
      </w:r>
      <w:r w:rsidRPr="00EE5A66">
        <w:rPr>
          <w:rFonts w:asciiTheme="minorHAnsi" w:hAnsiTheme="minorHAnsi" w:cstheme="minorHAnsi"/>
          <w:sz w:val="24"/>
          <w:szCs w:val="24"/>
        </w:rPr>
        <w:t>per capita allocation.</w:t>
      </w:r>
      <w:r w:rsidR="00EE5A66" w:rsidRPr="00EE5A66">
        <w:rPr>
          <w:rFonts w:asciiTheme="minorHAnsi" w:hAnsiTheme="minorHAnsi" w:cstheme="minorHAnsi"/>
          <w:sz w:val="24"/>
          <w:szCs w:val="24"/>
        </w:rPr>
        <w:t xml:space="preserve"> </w:t>
      </w:r>
      <w:r w:rsidRPr="00EE5A66">
        <w:rPr>
          <w:rFonts w:asciiTheme="minorHAnsi" w:hAnsiTheme="minorHAnsi" w:cstheme="minorHAnsi"/>
          <w:sz w:val="24"/>
          <w:szCs w:val="24"/>
        </w:rPr>
        <w:t xml:space="preserve">This stage places a strong emphasis on </w:t>
      </w:r>
      <w:r w:rsidR="007D7029" w:rsidRPr="00EE5A66">
        <w:rPr>
          <w:rFonts w:asciiTheme="minorHAnsi" w:hAnsiTheme="minorHAnsi" w:cstheme="minorHAnsi"/>
          <w:sz w:val="24"/>
          <w:szCs w:val="24"/>
        </w:rPr>
        <w:t>collaborating</w:t>
      </w:r>
      <w:r w:rsidRPr="00EE5A66">
        <w:rPr>
          <w:rFonts w:asciiTheme="minorHAnsi" w:hAnsiTheme="minorHAnsi" w:cstheme="minorHAnsi"/>
          <w:sz w:val="24"/>
          <w:szCs w:val="24"/>
        </w:rPr>
        <w:t xml:space="preserve"> with local</w:t>
      </w:r>
      <w:r w:rsidR="00EE5A66">
        <w:rPr>
          <w:rFonts w:asciiTheme="minorHAnsi" w:hAnsiTheme="minorHAnsi" w:cstheme="minorHAnsi"/>
          <w:sz w:val="24"/>
          <w:szCs w:val="24"/>
        </w:rPr>
        <w:t xml:space="preserve"> stakeholders. </w:t>
      </w:r>
    </w:p>
    <w:p w:rsidR="00EE5A66" w:rsidRDefault="007D7029"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Stage 4 Actions:</w:t>
      </w:r>
      <w:r w:rsidRPr="00EE5A66">
        <w:rPr>
          <w:rFonts w:asciiTheme="minorHAnsi" w:hAnsiTheme="minorHAnsi" w:cstheme="minorHAnsi"/>
          <w:sz w:val="24"/>
          <w:szCs w:val="24"/>
        </w:rPr>
        <w:t xml:space="preserve"> </w:t>
      </w:r>
      <w:proofErr w:type="gramStart"/>
      <w:r w:rsidRPr="00EE5A66">
        <w:rPr>
          <w:rFonts w:asciiTheme="minorHAnsi" w:hAnsiTheme="minorHAnsi" w:cstheme="minorHAnsi"/>
          <w:sz w:val="24"/>
          <w:szCs w:val="24"/>
        </w:rPr>
        <w:t>is formatted</w:t>
      </w:r>
      <w:proofErr w:type="gramEnd"/>
      <w:r w:rsidRPr="00EE5A66">
        <w:rPr>
          <w:rFonts w:asciiTheme="minorHAnsi" w:hAnsiTheme="minorHAnsi" w:cstheme="minorHAnsi"/>
          <w:sz w:val="24"/>
          <w:szCs w:val="24"/>
        </w:rPr>
        <w:t xml:space="preserve"> as a </w:t>
      </w:r>
      <w:r w:rsidRPr="00EE5A66">
        <w:rPr>
          <w:rFonts w:asciiTheme="minorHAnsi" w:hAnsiTheme="minorHAnsi" w:cstheme="minorHAnsi"/>
          <w:noProof/>
          <w:sz w:val="24"/>
          <w:szCs w:val="24"/>
        </w:rPr>
        <w:t>toolbox</w:t>
      </w:r>
      <w:r w:rsidRPr="00EE5A66">
        <w:rPr>
          <w:rFonts w:asciiTheme="minorHAnsi" w:hAnsiTheme="minorHAnsi" w:cstheme="minorHAnsi"/>
          <w:sz w:val="24"/>
          <w:szCs w:val="24"/>
        </w:rPr>
        <w:t xml:space="preserve"> that add</w:t>
      </w:r>
      <w:r w:rsidR="00941EE3" w:rsidRPr="00EE5A66">
        <w:rPr>
          <w:rFonts w:asciiTheme="minorHAnsi" w:hAnsiTheme="minorHAnsi" w:cstheme="minorHAnsi"/>
          <w:sz w:val="24"/>
          <w:szCs w:val="24"/>
        </w:rPr>
        <w:t>resses potential GHG reductions. This stage</w:t>
      </w:r>
      <w:r w:rsidRPr="00EE5A66">
        <w:rPr>
          <w:rFonts w:asciiTheme="minorHAnsi" w:hAnsiTheme="minorHAnsi" w:cstheme="minorHAnsi"/>
          <w:sz w:val="24"/>
          <w:szCs w:val="24"/>
        </w:rPr>
        <w:t xml:space="preserve"> facilitates different scenario development, focuses on quantitative </w:t>
      </w:r>
      <w:r w:rsidRPr="00EE5A66">
        <w:rPr>
          <w:rFonts w:asciiTheme="minorHAnsi" w:hAnsiTheme="minorHAnsi" w:cstheme="minorHAnsi"/>
          <w:noProof/>
          <w:sz w:val="24"/>
          <w:szCs w:val="24"/>
        </w:rPr>
        <w:t>modeling</w:t>
      </w:r>
      <w:r w:rsidRPr="00EE5A66">
        <w:rPr>
          <w:rFonts w:asciiTheme="minorHAnsi" w:hAnsiTheme="minorHAnsi" w:cstheme="minorHAnsi"/>
          <w:sz w:val="24"/>
          <w:szCs w:val="24"/>
        </w:rPr>
        <w:t xml:space="preserve">, and the co-benefits associated with various scenarios. Additionally, the guideline provides a prioritization exercise </w:t>
      </w:r>
      <w:r w:rsidR="00941EE3" w:rsidRPr="00EE5A66">
        <w:rPr>
          <w:rFonts w:asciiTheme="minorHAnsi" w:hAnsiTheme="minorHAnsi" w:cstheme="minorHAnsi"/>
          <w:sz w:val="24"/>
          <w:szCs w:val="24"/>
        </w:rPr>
        <w:t>regarding</w:t>
      </w:r>
      <w:r w:rsidR="00251EDF" w:rsidRPr="00EE5A66">
        <w:rPr>
          <w:rFonts w:asciiTheme="minorHAnsi" w:hAnsiTheme="minorHAnsi" w:cstheme="minorHAnsi"/>
          <w:sz w:val="24"/>
          <w:szCs w:val="24"/>
        </w:rPr>
        <w:t xml:space="preserve"> financial cons</w:t>
      </w:r>
      <w:r w:rsidR="00941EE3" w:rsidRPr="00EE5A66">
        <w:rPr>
          <w:rFonts w:asciiTheme="minorHAnsi" w:hAnsiTheme="minorHAnsi" w:cstheme="minorHAnsi"/>
          <w:sz w:val="24"/>
          <w:szCs w:val="24"/>
        </w:rPr>
        <w:t>iderations of various scenario opportunities.</w:t>
      </w:r>
    </w:p>
    <w:p w:rsidR="00EE5A66" w:rsidRDefault="00251EDF"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Stage 5 Implementation:</w:t>
      </w:r>
      <w:r w:rsidRPr="00EE5A66">
        <w:rPr>
          <w:rFonts w:asciiTheme="minorHAnsi" w:hAnsiTheme="minorHAnsi" w:cstheme="minorHAnsi"/>
          <w:sz w:val="24"/>
          <w:szCs w:val="24"/>
        </w:rPr>
        <w:t xml:space="preserve"> There </w:t>
      </w:r>
      <w:r w:rsidR="00843D58" w:rsidRPr="00EE5A66">
        <w:rPr>
          <w:rFonts w:asciiTheme="minorHAnsi" w:hAnsiTheme="minorHAnsi" w:cstheme="minorHAnsi"/>
          <w:noProof/>
          <w:sz w:val="24"/>
          <w:szCs w:val="24"/>
        </w:rPr>
        <w:t>is</w:t>
      </w:r>
      <w:r w:rsidRPr="00EE5A66">
        <w:rPr>
          <w:rFonts w:asciiTheme="minorHAnsi" w:hAnsiTheme="minorHAnsi" w:cstheme="minorHAnsi"/>
          <w:sz w:val="24"/>
          <w:szCs w:val="24"/>
        </w:rPr>
        <w:t xml:space="preserve"> a focus on Official Plan and Master Plan alterations to support the GHG reduction target and actions. </w:t>
      </w:r>
      <w:r w:rsidR="0083207B" w:rsidRPr="00EE5A66">
        <w:rPr>
          <w:rFonts w:asciiTheme="minorHAnsi" w:hAnsiTheme="minorHAnsi" w:cstheme="minorHAnsi"/>
          <w:sz w:val="24"/>
          <w:szCs w:val="24"/>
        </w:rPr>
        <w:t xml:space="preserve">Official Plans are great areas to focus on </w:t>
      </w:r>
      <w:r w:rsidR="0083207B" w:rsidRPr="00EE5A66">
        <w:rPr>
          <w:rFonts w:asciiTheme="minorHAnsi" w:hAnsiTheme="minorHAnsi" w:cstheme="minorHAnsi"/>
          <w:sz w:val="24"/>
          <w:szCs w:val="24"/>
        </w:rPr>
        <w:lastRenderedPageBreak/>
        <w:t>because municipalities are able to use by-laws, community improvement plans, and active transportation master plans</w:t>
      </w:r>
      <w:r w:rsidR="00941EE3" w:rsidRPr="00EE5A66">
        <w:rPr>
          <w:rFonts w:asciiTheme="minorHAnsi" w:hAnsiTheme="minorHAnsi" w:cstheme="minorHAnsi"/>
          <w:sz w:val="24"/>
          <w:szCs w:val="24"/>
        </w:rPr>
        <w:t xml:space="preserve"> to strengthen their implementation strategies.</w:t>
      </w:r>
      <w:r w:rsidR="001A2E7D" w:rsidRPr="00EE5A66">
        <w:rPr>
          <w:rFonts w:asciiTheme="minorHAnsi" w:hAnsiTheme="minorHAnsi" w:cstheme="minorHAnsi"/>
          <w:sz w:val="24"/>
          <w:szCs w:val="24"/>
        </w:rPr>
        <w:t xml:space="preserve"> In this</w:t>
      </w:r>
      <w:r w:rsidR="00941EE3" w:rsidRPr="00EE5A66">
        <w:rPr>
          <w:rFonts w:asciiTheme="minorHAnsi" w:hAnsiTheme="minorHAnsi" w:cstheme="minorHAnsi"/>
          <w:sz w:val="24"/>
          <w:szCs w:val="24"/>
        </w:rPr>
        <w:t xml:space="preserve"> local policy context level, </w:t>
      </w:r>
      <w:r w:rsidR="001A2E7D" w:rsidRPr="00EE5A66">
        <w:rPr>
          <w:rFonts w:asciiTheme="minorHAnsi" w:hAnsiTheme="minorHAnsi" w:cstheme="minorHAnsi"/>
          <w:sz w:val="24"/>
          <w:szCs w:val="24"/>
        </w:rPr>
        <w:t xml:space="preserve">the appendix provides an inventory of </w:t>
      </w:r>
      <w:r w:rsidR="00941EE3" w:rsidRPr="00EE5A66">
        <w:rPr>
          <w:rFonts w:asciiTheme="minorHAnsi" w:hAnsiTheme="minorHAnsi" w:cstheme="minorHAnsi"/>
          <w:sz w:val="24"/>
          <w:szCs w:val="24"/>
        </w:rPr>
        <w:t xml:space="preserve">tools for integrating land-use, transit, and infrastructure considerations. </w:t>
      </w:r>
      <w:r w:rsidR="0083207B" w:rsidRPr="00EE5A66">
        <w:rPr>
          <w:rFonts w:asciiTheme="minorHAnsi" w:hAnsiTheme="minorHAnsi" w:cstheme="minorHAnsi"/>
          <w:sz w:val="24"/>
          <w:szCs w:val="24"/>
        </w:rPr>
        <w:t>Municipalities are encouraged to use any other innovative mechanism available to them to adv</w:t>
      </w:r>
      <w:r w:rsidR="001A2E7D" w:rsidRPr="00EE5A66">
        <w:rPr>
          <w:rFonts w:asciiTheme="minorHAnsi" w:hAnsiTheme="minorHAnsi" w:cstheme="minorHAnsi"/>
          <w:sz w:val="24"/>
          <w:szCs w:val="24"/>
        </w:rPr>
        <w:t>ance their implementation phase. The</w:t>
      </w:r>
      <w:r w:rsidR="0083207B" w:rsidRPr="00EE5A66">
        <w:rPr>
          <w:rFonts w:asciiTheme="minorHAnsi" w:hAnsiTheme="minorHAnsi" w:cstheme="minorHAnsi"/>
          <w:sz w:val="24"/>
          <w:szCs w:val="24"/>
        </w:rPr>
        <w:t xml:space="preserve"> Seattle Action Plan</w:t>
      </w:r>
      <w:r w:rsidR="001A2E7D" w:rsidRPr="00EE5A66">
        <w:rPr>
          <w:rFonts w:asciiTheme="minorHAnsi" w:hAnsiTheme="minorHAnsi" w:cstheme="minorHAnsi"/>
          <w:sz w:val="24"/>
          <w:szCs w:val="24"/>
        </w:rPr>
        <w:t xml:space="preserve"> is provided as an example of a </w:t>
      </w:r>
      <w:r w:rsidR="0083207B" w:rsidRPr="00EE5A66">
        <w:rPr>
          <w:rFonts w:asciiTheme="minorHAnsi" w:hAnsiTheme="minorHAnsi" w:cstheme="minorHAnsi"/>
          <w:sz w:val="24"/>
          <w:szCs w:val="24"/>
        </w:rPr>
        <w:t xml:space="preserve">highly integrated </w:t>
      </w:r>
      <w:proofErr w:type="gramStart"/>
      <w:r w:rsidR="0083207B" w:rsidRPr="00EE5A66">
        <w:rPr>
          <w:rFonts w:asciiTheme="minorHAnsi" w:hAnsiTheme="minorHAnsi" w:cstheme="minorHAnsi"/>
          <w:sz w:val="24"/>
          <w:szCs w:val="24"/>
        </w:rPr>
        <w:t>plan</w:t>
      </w:r>
      <w:r w:rsidR="001A2E7D" w:rsidRPr="00EE5A66">
        <w:rPr>
          <w:rFonts w:asciiTheme="minorHAnsi" w:hAnsiTheme="minorHAnsi" w:cstheme="minorHAnsi"/>
          <w:sz w:val="24"/>
          <w:szCs w:val="24"/>
        </w:rPr>
        <w:t>,</w:t>
      </w:r>
      <w:proofErr w:type="gramEnd"/>
      <w:r w:rsidR="001A2E7D" w:rsidRPr="00EE5A66">
        <w:rPr>
          <w:rFonts w:asciiTheme="minorHAnsi" w:hAnsiTheme="minorHAnsi" w:cstheme="minorHAnsi"/>
          <w:sz w:val="24"/>
          <w:szCs w:val="24"/>
        </w:rPr>
        <w:t xml:space="preserve"> it is a </w:t>
      </w:r>
      <w:r w:rsidR="001A2E7D" w:rsidRPr="00EE5A66">
        <w:rPr>
          <w:rFonts w:asciiTheme="minorHAnsi" w:hAnsiTheme="minorHAnsi" w:cstheme="minorHAnsi"/>
          <w:noProof/>
          <w:sz w:val="24"/>
          <w:szCs w:val="24"/>
        </w:rPr>
        <w:t>resource</w:t>
      </w:r>
      <w:r w:rsidR="001A2E7D" w:rsidRPr="00EE5A66">
        <w:rPr>
          <w:rFonts w:asciiTheme="minorHAnsi" w:hAnsiTheme="minorHAnsi" w:cstheme="minorHAnsi"/>
          <w:sz w:val="24"/>
          <w:szCs w:val="24"/>
        </w:rPr>
        <w:t xml:space="preserve"> that </w:t>
      </w:r>
      <w:r w:rsidR="001A2E7D" w:rsidRPr="00EE5A66">
        <w:rPr>
          <w:rFonts w:asciiTheme="minorHAnsi" w:hAnsiTheme="minorHAnsi" w:cstheme="minorHAnsi"/>
          <w:noProof/>
          <w:sz w:val="24"/>
          <w:szCs w:val="24"/>
        </w:rPr>
        <w:t>showcases effective</w:t>
      </w:r>
      <w:r w:rsidR="0083207B" w:rsidRPr="00EE5A66">
        <w:rPr>
          <w:rFonts w:asciiTheme="minorHAnsi" w:hAnsiTheme="minorHAnsi" w:cstheme="minorHAnsi"/>
          <w:noProof/>
          <w:sz w:val="24"/>
          <w:szCs w:val="24"/>
        </w:rPr>
        <w:t xml:space="preserve"> active</w:t>
      </w:r>
      <w:r w:rsidR="0083207B" w:rsidRPr="00EE5A66">
        <w:rPr>
          <w:rFonts w:asciiTheme="minorHAnsi" w:hAnsiTheme="minorHAnsi" w:cstheme="minorHAnsi"/>
          <w:sz w:val="24"/>
          <w:szCs w:val="24"/>
        </w:rPr>
        <w:t xml:space="preserve"> transportation planning</w:t>
      </w:r>
      <w:r w:rsidR="001A2E7D" w:rsidRPr="00EE5A66">
        <w:rPr>
          <w:rFonts w:asciiTheme="minorHAnsi" w:hAnsiTheme="minorHAnsi" w:cstheme="minorHAnsi"/>
          <w:sz w:val="24"/>
          <w:szCs w:val="24"/>
        </w:rPr>
        <w:t>,</w:t>
      </w:r>
      <w:r w:rsidR="0083207B" w:rsidRPr="00EE5A66">
        <w:rPr>
          <w:rFonts w:asciiTheme="minorHAnsi" w:hAnsiTheme="minorHAnsi" w:cstheme="minorHAnsi"/>
          <w:sz w:val="24"/>
          <w:szCs w:val="24"/>
        </w:rPr>
        <w:t xml:space="preserve"> adaptation planning</w:t>
      </w:r>
      <w:r w:rsidR="00843D58" w:rsidRPr="00EE5A66">
        <w:rPr>
          <w:rFonts w:asciiTheme="minorHAnsi" w:hAnsiTheme="minorHAnsi" w:cstheme="minorHAnsi"/>
          <w:sz w:val="24"/>
          <w:szCs w:val="24"/>
        </w:rPr>
        <w:t>,</w:t>
      </w:r>
      <w:r w:rsidR="0083207B" w:rsidRPr="00EE5A66">
        <w:rPr>
          <w:rFonts w:asciiTheme="minorHAnsi" w:hAnsiTheme="minorHAnsi" w:cstheme="minorHAnsi"/>
          <w:sz w:val="24"/>
          <w:szCs w:val="24"/>
        </w:rPr>
        <w:t xml:space="preserve"> </w:t>
      </w:r>
      <w:r w:rsidR="0083207B" w:rsidRPr="00EE5A66">
        <w:rPr>
          <w:rFonts w:asciiTheme="minorHAnsi" w:hAnsiTheme="minorHAnsi" w:cstheme="minorHAnsi"/>
          <w:noProof/>
          <w:sz w:val="24"/>
          <w:szCs w:val="24"/>
        </w:rPr>
        <w:t>and</w:t>
      </w:r>
      <w:r w:rsidR="0083207B" w:rsidRPr="00EE5A66">
        <w:rPr>
          <w:rFonts w:asciiTheme="minorHAnsi" w:hAnsiTheme="minorHAnsi" w:cstheme="minorHAnsi"/>
          <w:sz w:val="24"/>
          <w:szCs w:val="24"/>
        </w:rPr>
        <w:t xml:space="preserve"> corporate investment strategies. </w:t>
      </w:r>
    </w:p>
    <w:p w:rsidR="00EE5A66" w:rsidRDefault="006B1D27"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Stage 6 Monitor</w:t>
      </w:r>
      <w:r w:rsidR="001A2E7D" w:rsidRPr="00EE5A66">
        <w:rPr>
          <w:rFonts w:asciiTheme="minorHAnsi" w:hAnsiTheme="minorHAnsi" w:cstheme="minorHAnsi"/>
          <w:sz w:val="24"/>
          <w:szCs w:val="24"/>
          <w:u w:val="single"/>
        </w:rPr>
        <w:t>ing</w:t>
      </w:r>
      <w:r w:rsidRPr="00EE5A66">
        <w:rPr>
          <w:rFonts w:asciiTheme="minorHAnsi" w:hAnsiTheme="minorHAnsi" w:cstheme="minorHAnsi"/>
          <w:sz w:val="24"/>
          <w:szCs w:val="24"/>
          <w:u w:val="single"/>
        </w:rPr>
        <w:t xml:space="preserve"> and Evaluation:</w:t>
      </w:r>
      <w:r w:rsidRPr="00EE5A66">
        <w:rPr>
          <w:rFonts w:asciiTheme="minorHAnsi" w:hAnsiTheme="minorHAnsi" w:cstheme="minorHAnsi"/>
          <w:sz w:val="24"/>
          <w:szCs w:val="24"/>
        </w:rPr>
        <w:t xml:space="preserve"> The guideline encourages a </w:t>
      </w:r>
      <w:r w:rsidR="0083207B" w:rsidRPr="00EE5A66">
        <w:rPr>
          <w:rFonts w:asciiTheme="minorHAnsi" w:hAnsiTheme="minorHAnsi" w:cstheme="minorHAnsi"/>
          <w:sz w:val="24"/>
          <w:szCs w:val="24"/>
        </w:rPr>
        <w:t>5-year</w:t>
      </w:r>
      <w:r w:rsidRPr="00EE5A66">
        <w:rPr>
          <w:rFonts w:asciiTheme="minorHAnsi" w:hAnsiTheme="minorHAnsi" w:cstheme="minorHAnsi"/>
          <w:sz w:val="24"/>
          <w:szCs w:val="24"/>
        </w:rPr>
        <w:t xml:space="preserve"> implementation Plan.</w:t>
      </w:r>
      <w:r w:rsidR="00843D58" w:rsidRPr="00EE5A66">
        <w:rPr>
          <w:rFonts w:asciiTheme="minorHAnsi" w:hAnsiTheme="minorHAnsi" w:cstheme="minorHAnsi"/>
          <w:sz w:val="24"/>
          <w:szCs w:val="24"/>
        </w:rPr>
        <w:t xml:space="preserve"> Further resources are</w:t>
      </w:r>
      <w:r w:rsidR="001A2E7D" w:rsidRPr="00EE5A66">
        <w:rPr>
          <w:rFonts w:asciiTheme="minorHAnsi" w:hAnsiTheme="minorHAnsi" w:cstheme="minorHAnsi"/>
          <w:sz w:val="24"/>
          <w:szCs w:val="24"/>
        </w:rPr>
        <w:t xml:space="preserve"> available in the appendix that </w:t>
      </w:r>
      <w:r w:rsidR="001A2E7D" w:rsidRPr="00EE5A66">
        <w:rPr>
          <w:rFonts w:asciiTheme="minorHAnsi" w:hAnsiTheme="minorHAnsi" w:cstheme="minorHAnsi"/>
          <w:noProof/>
          <w:sz w:val="24"/>
          <w:szCs w:val="24"/>
        </w:rPr>
        <w:t>relate</w:t>
      </w:r>
      <w:r w:rsidR="00843D58" w:rsidRPr="00EE5A66">
        <w:rPr>
          <w:rFonts w:asciiTheme="minorHAnsi" w:hAnsiTheme="minorHAnsi" w:cstheme="minorHAnsi"/>
          <w:noProof/>
          <w:sz w:val="24"/>
          <w:szCs w:val="24"/>
        </w:rPr>
        <w:t>s</w:t>
      </w:r>
      <w:r w:rsidR="001A2E7D" w:rsidRPr="00EE5A66">
        <w:rPr>
          <w:rFonts w:asciiTheme="minorHAnsi" w:hAnsiTheme="minorHAnsi" w:cstheme="minorHAnsi"/>
          <w:sz w:val="24"/>
          <w:szCs w:val="24"/>
        </w:rPr>
        <w:t xml:space="preserve"> to engagement activities and administration tools.</w:t>
      </w:r>
    </w:p>
    <w:p w:rsidR="00EE5A66" w:rsidRDefault="006B1D27"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rPr>
        <w:t>Next Steps: comments and feedback on the guidelines are due by March</w:t>
      </w:r>
      <w:r w:rsidR="00EE5A66">
        <w:rPr>
          <w:rFonts w:asciiTheme="minorHAnsi" w:hAnsiTheme="minorHAnsi" w:cstheme="minorHAnsi"/>
          <w:sz w:val="24"/>
          <w:szCs w:val="24"/>
        </w:rPr>
        <w:t xml:space="preserve"> 4th</w:t>
      </w:r>
      <w:r w:rsidRPr="00EE5A66">
        <w:rPr>
          <w:rFonts w:asciiTheme="minorHAnsi" w:hAnsiTheme="minorHAnsi" w:cstheme="minorHAnsi"/>
          <w:sz w:val="24"/>
          <w:szCs w:val="24"/>
        </w:rPr>
        <w:t>,</w:t>
      </w:r>
      <w:r w:rsidR="001A2E7D" w:rsidRPr="00EE5A66">
        <w:rPr>
          <w:rFonts w:asciiTheme="minorHAnsi" w:hAnsiTheme="minorHAnsi" w:cstheme="minorHAnsi"/>
          <w:sz w:val="24"/>
          <w:szCs w:val="24"/>
        </w:rPr>
        <w:t xml:space="preserve"> 2018. </w:t>
      </w:r>
    </w:p>
    <w:p w:rsidR="00EE5A66" w:rsidRDefault="006B1D27"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u w:val="single"/>
        </w:rPr>
        <w:t>CAC Council will submit their recommendations</w:t>
      </w:r>
      <w:r w:rsidR="002655E1" w:rsidRPr="00EE5A66">
        <w:rPr>
          <w:rFonts w:asciiTheme="minorHAnsi" w:hAnsiTheme="minorHAnsi" w:cstheme="minorHAnsi"/>
          <w:sz w:val="24"/>
          <w:szCs w:val="24"/>
          <w:u w:val="single"/>
        </w:rPr>
        <w:t xml:space="preserve"> for the GHG Guideline:</w:t>
      </w:r>
      <w:r w:rsidRPr="00EE5A66">
        <w:rPr>
          <w:rFonts w:asciiTheme="minorHAnsi" w:hAnsiTheme="minorHAnsi" w:cstheme="minorHAnsi"/>
          <w:sz w:val="24"/>
          <w:szCs w:val="24"/>
        </w:rPr>
        <w:t xml:space="preserve"> </w:t>
      </w:r>
      <w:r w:rsidR="00EE5A66">
        <w:rPr>
          <w:rFonts w:asciiTheme="minorHAnsi" w:hAnsiTheme="minorHAnsi" w:cstheme="minorHAnsi"/>
          <w:sz w:val="24"/>
          <w:szCs w:val="24"/>
        </w:rPr>
        <w:t xml:space="preserve">Final version of submission is available </w:t>
      </w:r>
      <w:hyperlink r:id="rId11" w:history="1">
        <w:r w:rsidR="00EE5A66" w:rsidRPr="00554469">
          <w:rPr>
            <w:rStyle w:val="Hyperlink"/>
            <w:rFonts w:asciiTheme="minorHAnsi" w:hAnsiTheme="minorHAnsi" w:cstheme="minorHAnsi"/>
            <w:sz w:val="24"/>
            <w:szCs w:val="24"/>
          </w:rPr>
          <w:t>here</w:t>
        </w:r>
      </w:hyperlink>
      <w:r w:rsidR="00EE5A66">
        <w:rPr>
          <w:rFonts w:asciiTheme="minorHAnsi" w:hAnsiTheme="minorHAnsi" w:cstheme="minorHAnsi"/>
          <w:sz w:val="24"/>
          <w:szCs w:val="24"/>
        </w:rPr>
        <w:t xml:space="preserve">. </w:t>
      </w:r>
    </w:p>
    <w:p w:rsidR="00EE5A66" w:rsidRPr="00554469" w:rsidRDefault="00EE5A66" w:rsidP="00EE5A66">
      <w:pPr>
        <w:ind w:left="360"/>
        <w:rPr>
          <w:rFonts w:asciiTheme="minorHAnsi" w:hAnsiTheme="minorHAnsi" w:cstheme="minorHAnsi"/>
          <w:b/>
          <w:sz w:val="24"/>
          <w:szCs w:val="24"/>
        </w:rPr>
      </w:pPr>
      <w:r w:rsidRPr="00554469">
        <w:rPr>
          <w:rFonts w:asciiTheme="minorHAnsi" w:hAnsiTheme="minorHAnsi" w:cstheme="minorHAnsi"/>
          <w:b/>
          <w:sz w:val="24"/>
          <w:szCs w:val="24"/>
        </w:rPr>
        <w:t>Feedback</w:t>
      </w:r>
    </w:p>
    <w:p w:rsidR="00EE5A66" w:rsidRDefault="00EE5A66" w:rsidP="00EE5A6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W</w:t>
      </w:r>
      <w:r w:rsidR="00112F9A" w:rsidRPr="00EE5A66">
        <w:rPr>
          <w:rFonts w:asciiTheme="minorHAnsi" w:hAnsiTheme="minorHAnsi" w:cstheme="minorHAnsi"/>
          <w:sz w:val="24"/>
          <w:szCs w:val="24"/>
        </w:rPr>
        <w:t xml:space="preserve">ould like the province to tackle the inconsistency associated with achieving and </w:t>
      </w:r>
      <w:r w:rsidR="00112F9A" w:rsidRPr="00EE5A66">
        <w:rPr>
          <w:rFonts w:asciiTheme="minorHAnsi" w:hAnsiTheme="minorHAnsi" w:cstheme="minorHAnsi"/>
          <w:noProof/>
          <w:sz w:val="24"/>
          <w:szCs w:val="24"/>
        </w:rPr>
        <w:t>analy</w:t>
      </w:r>
      <w:r w:rsidR="00843D58" w:rsidRPr="00EE5A66">
        <w:rPr>
          <w:rFonts w:asciiTheme="minorHAnsi" w:hAnsiTheme="minorHAnsi" w:cstheme="minorHAnsi"/>
          <w:noProof/>
          <w:sz w:val="24"/>
          <w:szCs w:val="24"/>
        </w:rPr>
        <w:t>z</w:t>
      </w:r>
      <w:r w:rsidR="00112F9A" w:rsidRPr="00EE5A66">
        <w:rPr>
          <w:rFonts w:asciiTheme="minorHAnsi" w:hAnsiTheme="minorHAnsi" w:cstheme="minorHAnsi"/>
          <w:noProof/>
          <w:sz w:val="24"/>
          <w:szCs w:val="24"/>
        </w:rPr>
        <w:t>ing</w:t>
      </w:r>
      <w:r w:rsidR="00112F9A" w:rsidRPr="00EE5A66">
        <w:rPr>
          <w:rFonts w:asciiTheme="minorHAnsi" w:hAnsiTheme="minorHAnsi" w:cstheme="minorHAnsi"/>
          <w:sz w:val="24"/>
          <w:szCs w:val="24"/>
        </w:rPr>
        <w:t xml:space="preserve"> transportation data. It would be great to have a list </w:t>
      </w:r>
      <w:r w:rsidR="00112F9A" w:rsidRPr="00EE5A66">
        <w:rPr>
          <w:rFonts w:asciiTheme="minorHAnsi" w:hAnsiTheme="minorHAnsi" w:cstheme="minorHAnsi"/>
          <w:noProof/>
          <w:sz w:val="24"/>
          <w:szCs w:val="24"/>
        </w:rPr>
        <w:t>from</w:t>
      </w:r>
      <w:r w:rsidR="00112F9A" w:rsidRPr="00EE5A66">
        <w:rPr>
          <w:rFonts w:asciiTheme="minorHAnsi" w:hAnsiTheme="minorHAnsi" w:cstheme="minorHAnsi"/>
          <w:sz w:val="24"/>
          <w:szCs w:val="24"/>
        </w:rPr>
        <w:t xml:space="preserve"> MTO of resources municipalities </w:t>
      </w:r>
      <w:r w:rsidR="00BC1FE9" w:rsidRPr="00EE5A66">
        <w:rPr>
          <w:rFonts w:asciiTheme="minorHAnsi" w:hAnsiTheme="minorHAnsi" w:cstheme="minorHAnsi"/>
          <w:sz w:val="24"/>
          <w:szCs w:val="24"/>
        </w:rPr>
        <w:t>can access to retrieve information.</w:t>
      </w:r>
      <w:r w:rsidR="00554469">
        <w:rPr>
          <w:rFonts w:asciiTheme="minorHAnsi" w:hAnsiTheme="minorHAnsi" w:cstheme="minorHAnsi"/>
          <w:sz w:val="24"/>
          <w:szCs w:val="24"/>
        </w:rPr>
        <w:t xml:space="preserve"> It would also be amazing to have access to MTO vehicle registration data without having to pay a third party for it. In addition, it would be great to have the mileage data collected as at present assumption have to </w:t>
      </w:r>
      <w:proofErr w:type="gramStart"/>
      <w:r w:rsidR="00554469">
        <w:rPr>
          <w:rFonts w:asciiTheme="minorHAnsi" w:hAnsiTheme="minorHAnsi" w:cstheme="minorHAnsi"/>
          <w:sz w:val="24"/>
          <w:szCs w:val="24"/>
        </w:rPr>
        <w:t>be made</w:t>
      </w:r>
      <w:proofErr w:type="gramEnd"/>
      <w:r w:rsidR="00554469">
        <w:rPr>
          <w:rFonts w:asciiTheme="minorHAnsi" w:hAnsiTheme="minorHAnsi" w:cstheme="minorHAnsi"/>
          <w:sz w:val="24"/>
          <w:szCs w:val="24"/>
        </w:rPr>
        <w:t xml:space="preserve"> and those assumptions really make you question the value of the data. It is more useful for tracking and locating EV uptake than it is for transportation energy use. </w:t>
      </w:r>
    </w:p>
    <w:p w:rsidR="00EE5A66" w:rsidRDefault="00EE5A66" w:rsidP="00EE5A66">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Municipalities would benefit from guidance on integrating climate change into Official Plans. G</w:t>
      </w:r>
      <w:r w:rsidR="00BC1FE9" w:rsidRPr="00EE5A66">
        <w:rPr>
          <w:rFonts w:asciiTheme="minorHAnsi" w:hAnsiTheme="minorHAnsi" w:cstheme="minorHAnsi"/>
          <w:sz w:val="24"/>
          <w:szCs w:val="24"/>
        </w:rPr>
        <w:t>uidance</w:t>
      </w:r>
      <w:r>
        <w:rPr>
          <w:rFonts w:asciiTheme="minorHAnsi" w:hAnsiTheme="minorHAnsi" w:cstheme="minorHAnsi"/>
          <w:sz w:val="24"/>
          <w:szCs w:val="24"/>
        </w:rPr>
        <w:t xml:space="preserve"> on appropriate language to include in </w:t>
      </w:r>
      <w:r w:rsidR="001A2E7D" w:rsidRPr="00EE5A66">
        <w:rPr>
          <w:rFonts w:asciiTheme="minorHAnsi" w:hAnsiTheme="minorHAnsi" w:cstheme="minorHAnsi"/>
          <w:sz w:val="24"/>
          <w:szCs w:val="24"/>
        </w:rPr>
        <w:t xml:space="preserve">municipal Official Plans </w:t>
      </w:r>
      <w:r w:rsidR="00BC1FE9" w:rsidRPr="00EE5A66">
        <w:rPr>
          <w:rFonts w:asciiTheme="minorHAnsi" w:hAnsiTheme="minorHAnsi" w:cstheme="minorHAnsi"/>
          <w:sz w:val="24"/>
          <w:szCs w:val="24"/>
        </w:rPr>
        <w:t xml:space="preserve">would help many </w:t>
      </w:r>
      <w:r w:rsidR="00BC1FE9" w:rsidRPr="00EE5A66">
        <w:rPr>
          <w:rFonts w:asciiTheme="minorHAnsi" w:hAnsiTheme="minorHAnsi" w:cstheme="minorHAnsi"/>
          <w:noProof/>
          <w:sz w:val="24"/>
          <w:szCs w:val="24"/>
        </w:rPr>
        <w:t>counci</w:t>
      </w:r>
      <w:r w:rsidR="00C310A9" w:rsidRPr="00EE5A66">
        <w:rPr>
          <w:rFonts w:asciiTheme="minorHAnsi" w:hAnsiTheme="minorHAnsi" w:cstheme="minorHAnsi"/>
          <w:noProof/>
          <w:sz w:val="24"/>
          <w:szCs w:val="24"/>
        </w:rPr>
        <w:t>lors</w:t>
      </w:r>
      <w:r w:rsidR="001A2E7D" w:rsidRPr="00EE5A66">
        <w:rPr>
          <w:rFonts w:asciiTheme="minorHAnsi" w:hAnsiTheme="minorHAnsi" w:cstheme="minorHAnsi"/>
          <w:sz w:val="24"/>
          <w:szCs w:val="24"/>
        </w:rPr>
        <w:t>/planners</w:t>
      </w:r>
      <w:r w:rsidR="00BC1FE9" w:rsidRPr="00EE5A66">
        <w:rPr>
          <w:rFonts w:asciiTheme="minorHAnsi" w:hAnsiTheme="minorHAnsi" w:cstheme="minorHAnsi"/>
          <w:sz w:val="24"/>
          <w:szCs w:val="24"/>
        </w:rPr>
        <w:t xml:space="preserve"> that </w:t>
      </w:r>
      <w:r w:rsidR="00BC1FE9" w:rsidRPr="00EE5A66">
        <w:rPr>
          <w:rFonts w:asciiTheme="minorHAnsi" w:hAnsiTheme="minorHAnsi" w:cstheme="minorHAnsi"/>
          <w:noProof/>
          <w:sz w:val="24"/>
          <w:szCs w:val="24"/>
        </w:rPr>
        <w:t>are</w:t>
      </w:r>
      <w:r w:rsidR="00BC1FE9" w:rsidRPr="00EE5A66">
        <w:rPr>
          <w:rFonts w:asciiTheme="minorHAnsi" w:hAnsiTheme="minorHAnsi" w:cstheme="minorHAnsi"/>
          <w:sz w:val="24"/>
          <w:szCs w:val="24"/>
        </w:rPr>
        <w:t xml:space="preserve"> still stuck using </w:t>
      </w:r>
      <w:r w:rsidR="001A2E7D" w:rsidRPr="00EE5A66">
        <w:rPr>
          <w:rFonts w:asciiTheme="minorHAnsi" w:hAnsiTheme="minorHAnsi" w:cstheme="minorHAnsi"/>
          <w:sz w:val="24"/>
          <w:szCs w:val="24"/>
        </w:rPr>
        <w:t>limiting language such as “may</w:t>
      </w:r>
      <w:r w:rsidR="00BC1FE9" w:rsidRPr="00EE5A66">
        <w:rPr>
          <w:rFonts w:asciiTheme="minorHAnsi" w:hAnsiTheme="minorHAnsi" w:cstheme="minorHAnsi"/>
          <w:sz w:val="24"/>
          <w:szCs w:val="24"/>
        </w:rPr>
        <w:t>”</w:t>
      </w:r>
      <w:r w:rsidR="001A2E7D" w:rsidRPr="00EE5A66">
        <w:rPr>
          <w:rFonts w:asciiTheme="minorHAnsi" w:hAnsiTheme="minorHAnsi" w:cstheme="minorHAnsi"/>
          <w:sz w:val="24"/>
          <w:szCs w:val="24"/>
        </w:rPr>
        <w:t xml:space="preserve"> vs. “shall.”</w:t>
      </w:r>
    </w:p>
    <w:p w:rsidR="00EE5A66" w:rsidRDefault="008A773E" w:rsidP="00EE5A66">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rPr>
        <w:t xml:space="preserve">Resource: </w:t>
      </w:r>
      <w:r w:rsidR="00BC1FE9" w:rsidRPr="00EE5A66">
        <w:rPr>
          <w:rFonts w:asciiTheme="minorHAnsi" w:hAnsiTheme="minorHAnsi" w:cstheme="minorHAnsi"/>
          <w:sz w:val="24"/>
          <w:szCs w:val="24"/>
        </w:rPr>
        <w:t xml:space="preserve">Sustainability Solutions Group (SSG) has </w:t>
      </w:r>
      <w:r w:rsidRPr="00EE5A66">
        <w:rPr>
          <w:rFonts w:asciiTheme="minorHAnsi" w:hAnsiTheme="minorHAnsi" w:cstheme="minorHAnsi"/>
          <w:sz w:val="24"/>
          <w:szCs w:val="24"/>
        </w:rPr>
        <w:t xml:space="preserve">worked on developing land-use measures and technological </w:t>
      </w:r>
      <w:proofErr w:type="gramStart"/>
      <w:r w:rsidRPr="00EE5A66">
        <w:rPr>
          <w:rFonts w:asciiTheme="minorHAnsi" w:hAnsiTheme="minorHAnsi" w:cstheme="minorHAnsi"/>
          <w:sz w:val="24"/>
          <w:szCs w:val="24"/>
        </w:rPr>
        <w:t>measures which</w:t>
      </w:r>
      <w:proofErr w:type="gramEnd"/>
      <w:r w:rsidRPr="00EE5A66">
        <w:rPr>
          <w:rFonts w:asciiTheme="minorHAnsi" w:hAnsiTheme="minorHAnsi" w:cstheme="minorHAnsi"/>
          <w:sz w:val="24"/>
          <w:szCs w:val="24"/>
        </w:rPr>
        <w:t xml:space="preserve"> would be </w:t>
      </w:r>
      <w:r w:rsidRPr="00EE5A66">
        <w:rPr>
          <w:rFonts w:asciiTheme="minorHAnsi" w:hAnsiTheme="minorHAnsi" w:cstheme="minorHAnsi"/>
          <w:noProof/>
          <w:sz w:val="24"/>
          <w:szCs w:val="24"/>
        </w:rPr>
        <w:t>a very useful detailed resource</w:t>
      </w:r>
      <w:r w:rsidRPr="00EE5A66">
        <w:rPr>
          <w:rFonts w:asciiTheme="minorHAnsi" w:hAnsiTheme="minorHAnsi" w:cstheme="minorHAnsi"/>
          <w:sz w:val="24"/>
          <w:szCs w:val="24"/>
        </w:rPr>
        <w:t xml:space="preserve"> to reference.</w:t>
      </w:r>
      <w:r w:rsidR="00E52235" w:rsidRPr="00EE5A66">
        <w:rPr>
          <w:rFonts w:asciiTheme="minorHAnsi" w:hAnsiTheme="minorHAnsi" w:cstheme="minorHAnsi"/>
          <w:sz w:val="24"/>
          <w:szCs w:val="24"/>
        </w:rPr>
        <w:t xml:space="preserve"> </w:t>
      </w:r>
    </w:p>
    <w:p w:rsidR="007F3553" w:rsidRDefault="001A2E7D" w:rsidP="007F3553">
      <w:pPr>
        <w:pStyle w:val="ListParagraph"/>
        <w:numPr>
          <w:ilvl w:val="0"/>
          <w:numId w:val="19"/>
        </w:numPr>
        <w:rPr>
          <w:rFonts w:asciiTheme="minorHAnsi" w:hAnsiTheme="minorHAnsi" w:cstheme="minorHAnsi"/>
          <w:sz w:val="24"/>
          <w:szCs w:val="24"/>
        </w:rPr>
      </w:pPr>
      <w:r w:rsidRPr="00EE5A66">
        <w:rPr>
          <w:rFonts w:asciiTheme="minorHAnsi" w:hAnsiTheme="minorHAnsi" w:cstheme="minorHAnsi"/>
          <w:sz w:val="24"/>
          <w:szCs w:val="24"/>
        </w:rPr>
        <w:t xml:space="preserve">Durham Region </w:t>
      </w:r>
      <w:r w:rsidR="00E52235" w:rsidRPr="00EE5A66">
        <w:rPr>
          <w:rFonts w:asciiTheme="minorHAnsi" w:hAnsiTheme="minorHAnsi" w:cstheme="minorHAnsi"/>
          <w:sz w:val="24"/>
          <w:szCs w:val="24"/>
        </w:rPr>
        <w:t xml:space="preserve">is pursuing </w:t>
      </w:r>
      <w:r w:rsidRPr="00EE5A66">
        <w:rPr>
          <w:rFonts w:asciiTheme="minorHAnsi" w:hAnsiTheme="minorHAnsi" w:cstheme="minorHAnsi"/>
          <w:sz w:val="24"/>
          <w:szCs w:val="24"/>
        </w:rPr>
        <w:t>(</w:t>
      </w:r>
      <w:r w:rsidR="00E52235" w:rsidRPr="00EE5A66">
        <w:rPr>
          <w:rFonts w:asciiTheme="minorHAnsi" w:hAnsiTheme="minorHAnsi" w:cstheme="minorHAnsi"/>
          <w:sz w:val="24"/>
          <w:szCs w:val="24"/>
        </w:rPr>
        <w:t>and will have a report soon</w:t>
      </w:r>
      <w:r w:rsidRPr="00EE5A66">
        <w:rPr>
          <w:rFonts w:asciiTheme="minorHAnsi" w:hAnsiTheme="minorHAnsi" w:cstheme="minorHAnsi"/>
          <w:sz w:val="24"/>
          <w:szCs w:val="24"/>
        </w:rPr>
        <w:t>)</w:t>
      </w:r>
      <w:r w:rsidR="00E52235" w:rsidRPr="00EE5A66">
        <w:rPr>
          <w:rFonts w:asciiTheme="minorHAnsi" w:hAnsiTheme="minorHAnsi" w:cstheme="minorHAnsi"/>
          <w:sz w:val="24"/>
          <w:szCs w:val="24"/>
        </w:rPr>
        <w:t xml:space="preserve"> results for four different </w:t>
      </w:r>
      <w:r w:rsidR="00F53590" w:rsidRPr="00EE5A66">
        <w:rPr>
          <w:rFonts w:asciiTheme="minorHAnsi" w:hAnsiTheme="minorHAnsi" w:cstheme="minorHAnsi"/>
          <w:sz w:val="24"/>
          <w:szCs w:val="24"/>
        </w:rPr>
        <w:t xml:space="preserve">land-use and energy reduction </w:t>
      </w:r>
      <w:r w:rsidR="00E52235" w:rsidRPr="00EE5A66">
        <w:rPr>
          <w:rFonts w:asciiTheme="minorHAnsi" w:hAnsiTheme="minorHAnsi" w:cstheme="minorHAnsi"/>
          <w:sz w:val="24"/>
          <w:szCs w:val="24"/>
        </w:rPr>
        <w:t xml:space="preserve">scenarios that will quantify the relative contribution of each to the overall </w:t>
      </w:r>
      <w:r w:rsidR="00F53590" w:rsidRPr="00EE5A66">
        <w:rPr>
          <w:rFonts w:asciiTheme="minorHAnsi" w:hAnsiTheme="minorHAnsi" w:cstheme="minorHAnsi"/>
          <w:sz w:val="24"/>
          <w:szCs w:val="24"/>
        </w:rPr>
        <w:t>GHG emission reduction goal—Business case development that quantifies the different between b</w:t>
      </w:r>
      <w:r w:rsidR="00E52235" w:rsidRPr="00EE5A66">
        <w:rPr>
          <w:rFonts w:asciiTheme="minorHAnsi" w:hAnsiTheme="minorHAnsi" w:cstheme="minorHAnsi"/>
          <w:sz w:val="24"/>
          <w:szCs w:val="24"/>
        </w:rPr>
        <w:t>usiness as usual vs. aggre</w:t>
      </w:r>
      <w:r w:rsidR="00F53590" w:rsidRPr="00EE5A66">
        <w:rPr>
          <w:rFonts w:asciiTheme="minorHAnsi" w:hAnsiTheme="minorHAnsi" w:cstheme="minorHAnsi"/>
          <w:sz w:val="24"/>
          <w:szCs w:val="24"/>
        </w:rPr>
        <w:t>ssive technology implementation.</w:t>
      </w:r>
      <w:r w:rsidR="00D93FC1" w:rsidRPr="00EE5A66">
        <w:rPr>
          <w:rFonts w:asciiTheme="minorHAnsi" w:hAnsiTheme="minorHAnsi" w:cstheme="minorHAnsi"/>
          <w:sz w:val="24"/>
          <w:szCs w:val="24"/>
        </w:rPr>
        <w:t xml:space="preserve"> This work </w:t>
      </w:r>
      <w:proofErr w:type="gramStart"/>
      <w:r w:rsidR="00D93FC1" w:rsidRPr="00EE5A66">
        <w:rPr>
          <w:rFonts w:asciiTheme="minorHAnsi" w:hAnsiTheme="minorHAnsi" w:cstheme="minorHAnsi"/>
          <w:sz w:val="24"/>
          <w:szCs w:val="24"/>
        </w:rPr>
        <w:t>has been done</w:t>
      </w:r>
      <w:proofErr w:type="gramEnd"/>
      <w:r w:rsidR="00D93FC1" w:rsidRPr="00EE5A66">
        <w:rPr>
          <w:rFonts w:asciiTheme="minorHAnsi" w:hAnsiTheme="minorHAnsi" w:cstheme="minorHAnsi"/>
          <w:sz w:val="24"/>
          <w:szCs w:val="24"/>
        </w:rPr>
        <w:t xml:space="preserve"> with the help of SSG and can be a resource available for</w:t>
      </w:r>
      <w:r w:rsidR="00EE5A66" w:rsidRPr="00EE5A66">
        <w:rPr>
          <w:rFonts w:asciiTheme="minorHAnsi" w:hAnsiTheme="minorHAnsi" w:cstheme="minorHAnsi"/>
          <w:sz w:val="24"/>
          <w:szCs w:val="24"/>
        </w:rPr>
        <w:t xml:space="preserve"> the GHG guideline. </w:t>
      </w:r>
    </w:p>
    <w:p w:rsidR="007F3553" w:rsidRDefault="00C310A9" w:rsidP="007F3553">
      <w:pPr>
        <w:pStyle w:val="ListParagraph"/>
        <w:numPr>
          <w:ilvl w:val="0"/>
          <w:numId w:val="19"/>
        </w:numPr>
        <w:rPr>
          <w:rFonts w:asciiTheme="minorHAnsi" w:hAnsiTheme="minorHAnsi" w:cstheme="minorHAnsi"/>
          <w:sz w:val="24"/>
          <w:szCs w:val="24"/>
        </w:rPr>
      </w:pPr>
      <w:r w:rsidRPr="007F3553">
        <w:rPr>
          <w:rFonts w:asciiTheme="minorHAnsi" w:hAnsiTheme="minorHAnsi" w:cstheme="minorHAnsi"/>
          <w:sz w:val="24"/>
          <w:szCs w:val="24"/>
        </w:rPr>
        <w:lastRenderedPageBreak/>
        <w:t>Guelph is about</w:t>
      </w:r>
      <w:r w:rsidR="008A773E" w:rsidRPr="007F3553">
        <w:rPr>
          <w:rFonts w:asciiTheme="minorHAnsi" w:hAnsiTheme="minorHAnsi" w:cstheme="minorHAnsi"/>
          <w:sz w:val="24"/>
          <w:szCs w:val="24"/>
        </w:rPr>
        <w:t xml:space="preserve"> to commence their 10-year update o</w:t>
      </w:r>
      <w:r w:rsidR="007F3553">
        <w:rPr>
          <w:rFonts w:asciiTheme="minorHAnsi" w:hAnsiTheme="minorHAnsi" w:cstheme="minorHAnsi"/>
          <w:sz w:val="24"/>
          <w:szCs w:val="24"/>
        </w:rPr>
        <w:t xml:space="preserve">f their Community Energy Plan. </w:t>
      </w:r>
      <w:r w:rsidR="008A773E" w:rsidRPr="007F3553">
        <w:rPr>
          <w:rFonts w:asciiTheme="minorHAnsi" w:hAnsiTheme="minorHAnsi" w:cstheme="minorHAnsi"/>
          <w:sz w:val="24"/>
          <w:szCs w:val="24"/>
        </w:rPr>
        <w:t xml:space="preserve">The Guelph Community Energy Plan would be a great document to refer </w:t>
      </w:r>
      <w:proofErr w:type="gramStart"/>
      <w:r w:rsidR="008A773E" w:rsidRPr="007F3553">
        <w:rPr>
          <w:rFonts w:asciiTheme="minorHAnsi" w:hAnsiTheme="minorHAnsi" w:cstheme="minorHAnsi"/>
          <w:sz w:val="24"/>
          <w:szCs w:val="24"/>
        </w:rPr>
        <w:t>to</w:t>
      </w:r>
      <w:proofErr w:type="gramEnd"/>
      <w:r w:rsidR="008A773E" w:rsidRPr="007F3553">
        <w:rPr>
          <w:rFonts w:asciiTheme="minorHAnsi" w:hAnsiTheme="minorHAnsi" w:cstheme="minorHAnsi"/>
          <w:sz w:val="24"/>
          <w:szCs w:val="24"/>
        </w:rPr>
        <w:t xml:space="preserve">. They also used SSG for analytical alignment support. </w:t>
      </w:r>
      <w:r w:rsidR="00D93FC1" w:rsidRPr="007F3553">
        <w:rPr>
          <w:rFonts w:asciiTheme="minorHAnsi" w:hAnsiTheme="minorHAnsi" w:cstheme="minorHAnsi"/>
          <w:sz w:val="24"/>
          <w:szCs w:val="24"/>
        </w:rPr>
        <w:t xml:space="preserve">Language </w:t>
      </w:r>
      <w:proofErr w:type="gramStart"/>
      <w:r w:rsidR="00D93FC1" w:rsidRPr="007F3553">
        <w:rPr>
          <w:rFonts w:asciiTheme="minorHAnsi" w:hAnsiTheme="minorHAnsi" w:cstheme="minorHAnsi"/>
          <w:sz w:val="24"/>
          <w:szCs w:val="24"/>
        </w:rPr>
        <w:t>can be taken</w:t>
      </w:r>
      <w:proofErr w:type="gramEnd"/>
      <w:r w:rsidR="00D93FC1" w:rsidRPr="007F3553">
        <w:rPr>
          <w:rFonts w:asciiTheme="minorHAnsi" w:hAnsiTheme="minorHAnsi" w:cstheme="minorHAnsi"/>
          <w:sz w:val="24"/>
          <w:szCs w:val="24"/>
        </w:rPr>
        <w:t xml:space="preserve"> from these documents to strengthen climate change adaptation and mitigation considerations within municipal Official Plan amendments.</w:t>
      </w:r>
    </w:p>
    <w:p w:rsidR="007F3553" w:rsidRDefault="007F3553" w:rsidP="007F3553">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It</w:t>
      </w:r>
      <w:r w:rsidR="00BD6C05" w:rsidRPr="007F3553">
        <w:rPr>
          <w:rFonts w:asciiTheme="minorHAnsi" w:hAnsiTheme="minorHAnsi" w:cstheme="minorHAnsi"/>
          <w:sz w:val="24"/>
          <w:szCs w:val="24"/>
        </w:rPr>
        <w:t xml:space="preserve"> would be great to work on a cross-province data and knowledge sharing mechanism that focuses on establishing consistency </w:t>
      </w:r>
      <w:r>
        <w:rPr>
          <w:rFonts w:asciiTheme="minorHAnsi" w:hAnsiTheme="minorHAnsi" w:cstheme="minorHAnsi"/>
          <w:sz w:val="24"/>
          <w:szCs w:val="24"/>
        </w:rPr>
        <w:t xml:space="preserve">on inventories especially re: </w:t>
      </w:r>
      <w:r w:rsidR="00D93FC1" w:rsidRPr="007F3553">
        <w:rPr>
          <w:rFonts w:asciiTheme="minorHAnsi" w:hAnsiTheme="minorHAnsi" w:cstheme="minorHAnsi"/>
          <w:sz w:val="24"/>
          <w:szCs w:val="24"/>
        </w:rPr>
        <w:t>data acquisition/</w:t>
      </w:r>
      <w:r w:rsidR="00BD6C05" w:rsidRPr="007F3553">
        <w:rPr>
          <w:rFonts w:asciiTheme="minorHAnsi" w:hAnsiTheme="minorHAnsi" w:cstheme="minorHAnsi"/>
          <w:sz w:val="24"/>
          <w:szCs w:val="24"/>
        </w:rPr>
        <w:t>metric development, business-as-usual sc</w:t>
      </w:r>
      <w:r>
        <w:rPr>
          <w:rFonts w:asciiTheme="minorHAnsi" w:hAnsiTheme="minorHAnsi" w:cstheme="minorHAnsi"/>
          <w:sz w:val="24"/>
          <w:szCs w:val="24"/>
        </w:rPr>
        <w:t xml:space="preserve">enarios, and subsequent uniformity. </w:t>
      </w:r>
      <w:proofErr w:type="gramStart"/>
      <w:r w:rsidR="00554469">
        <w:rPr>
          <w:rFonts w:asciiTheme="minorHAnsi" w:hAnsiTheme="minorHAnsi" w:cstheme="minorHAnsi"/>
          <w:sz w:val="24"/>
          <w:szCs w:val="24"/>
        </w:rPr>
        <w:t>Again</w:t>
      </w:r>
      <w:proofErr w:type="gramEnd"/>
      <w:r w:rsidR="00554469">
        <w:rPr>
          <w:rFonts w:asciiTheme="minorHAnsi" w:hAnsiTheme="minorHAnsi" w:cstheme="minorHAnsi"/>
          <w:sz w:val="24"/>
          <w:szCs w:val="24"/>
        </w:rPr>
        <w:t xml:space="preserve"> it would be of significant value to have a similar service that was provided by the Province of BC where they centralized the inventory work and provided it to municipalities saving significant municipal staff resources and time as well as enabling them to allocate more money and time to stakeholder engagement and implementation of Plans. </w:t>
      </w:r>
    </w:p>
    <w:p w:rsidR="00C10B3A" w:rsidRPr="007F3553" w:rsidRDefault="00C10B3A" w:rsidP="007F3553">
      <w:pPr>
        <w:pStyle w:val="ListParagraph"/>
        <w:numPr>
          <w:ilvl w:val="0"/>
          <w:numId w:val="19"/>
        </w:numPr>
        <w:rPr>
          <w:rFonts w:asciiTheme="minorHAnsi" w:hAnsiTheme="minorHAnsi" w:cstheme="minorHAnsi"/>
          <w:sz w:val="24"/>
          <w:szCs w:val="24"/>
        </w:rPr>
      </w:pPr>
      <w:r w:rsidRPr="007F3553">
        <w:rPr>
          <w:rFonts w:asciiTheme="minorHAnsi" w:hAnsiTheme="minorHAnsi" w:cstheme="minorHAnsi"/>
          <w:sz w:val="24"/>
          <w:szCs w:val="24"/>
        </w:rPr>
        <w:t>It would be helpful if the provinces established this guideline as a mandatory bac</w:t>
      </w:r>
      <w:r w:rsidR="007F3553">
        <w:rPr>
          <w:rFonts w:asciiTheme="minorHAnsi" w:hAnsiTheme="minorHAnsi" w:cstheme="minorHAnsi"/>
          <w:sz w:val="24"/>
          <w:szCs w:val="24"/>
        </w:rPr>
        <w:t xml:space="preserve">kground study reference for a </w:t>
      </w:r>
      <w:r w:rsidRPr="007F3553">
        <w:rPr>
          <w:rFonts w:asciiTheme="minorHAnsi" w:hAnsiTheme="minorHAnsi" w:cstheme="minorHAnsi"/>
          <w:sz w:val="24"/>
          <w:szCs w:val="24"/>
        </w:rPr>
        <w:t>municipa</w:t>
      </w:r>
      <w:r w:rsidR="00D93FC1" w:rsidRPr="007F3553">
        <w:rPr>
          <w:rFonts w:asciiTheme="minorHAnsi" w:hAnsiTheme="minorHAnsi" w:cstheme="minorHAnsi"/>
          <w:sz w:val="24"/>
          <w:szCs w:val="24"/>
        </w:rPr>
        <w:t>lities’ Growth Plan alignment regarding</w:t>
      </w:r>
      <w:r w:rsidRPr="007F3553">
        <w:rPr>
          <w:rFonts w:asciiTheme="minorHAnsi" w:hAnsiTheme="minorHAnsi" w:cstheme="minorHAnsi"/>
          <w:sz w:val="24"/>
          <w:szCs w:val="24"/>
        </w:rPr>
        <w:t xml:space="preserve"> </w:t>
      </w:r>
      <w:proofErr w:type="gramStart"/>
      <w:r w:rsidRPr="007F3553">
        <w:rPr>
          <w:rFonts w:asciiTheme="minorHAnsi" w:hAnsiTheme="minorHAnsi" w:cstheme="minorHAnsi"/>
          <w:sz w:val="24"/>
          <w:szCs w:val="24"/>
        </w:rPr>
        <w:t>climate</w:t>
      </w:r>
      <w:proofErr w:type="gramEnd"/>
      <w:r w:rsidRPr="007F3553">
        <w:rPr>
          <w:rFonts w:asciiTheme="minorHAnsi" w:hAnsiTheme="minorHAnsi" w:cstheme="minorHAnsi"/>
          <w:sz w:val="24"/>
          <w:szCs w:val="24"/>
        </w:rPr>
        <w:t xml:space="preserve"> change adapta</w:t>
      </w:r>
      <w:r w:rsidR="00D93FC1" w:rsidRPr="007F3553">
        <w:rPr>
          <w:rFonts w:asciiTheme="minorHAnsi" w:hAnsiTheme="minorHAnsi" w:cstheme="minorHAnsi"/>
          <w:sz w:val="24"/>
          <w:szCs w:val="24"/>
        </w:rPr>
        <w:t>tion and mitigation advancement.</w:t>
      </w:r>
      <w:r w:rsidRPr="007F3553">
        <w:rPr>
          <w:rFonts w:asciiTheme="minorHAnsi" w:hAnsiTheme="minorHAnsi" w:cstheme="minorHAnsi"/>
          <w:sz w:val="24"/>
          <w:szCs w:val="24"/>
        </w:rPr>
        <w:t xml:space="preserve"> </w:t>
      </w:r>
    </w:p>
    <w:p w:rsidR="00C10B3A" w:rsidRPr="005576BB" w:rsidRDefault="00C10B3A" w:rsidP="005576BB">
      <w:pPr>
        <w:pStyle w:val="Heading3"/>
        <w:jc w:val="left"/>
        <w:rPr>
          <w:rFonts w:asciiTheme="minorHAnsi" w:hAnsiTheme="minorHAnsi" w:cstheme="minorHAnsi"/>
          <w:sz w:val="24"/>
          <w:szCs w:val="24"/>
        </w:rPr>
      </w:pPr>
      <w:bookmarkStart w:id="14" w:name="_Toc505250359"/>
      <w:r w:rsidRPr="005576BB">
        <w:rPr>
          <w:rFonts w:asciiTheme="minorHAnsi" w:hAnsiTheme="minorHAnsi" w:cstheme="minorHAnsi"/>
          <w:sz w:val="24"/>
          <w:szCs w:val="24"/>
        </w:rPr>
        <w:t>Question</w:t>
      </w:r>
      <w:r w:rsidR="00E70186" w:rsidRPr="005576BB">
        <w:rPr>
          <w:rFonts w:asciiTheme="minorHAnsi" w:hAnsiTheme="minorHAnsi" w:cstheme="minorHAnsi"/>
          <w:sz w:val="24"/>
          <w:szCs w:val="24"/>
        </w:rPr>
        <w:t>s</w:t>
      </w:r>
      <w:bookmarkEnd w:id="14"/>
    </w:p>
    <w:p w:rsidR="00C10B3A" w:rsidRPr="007F3553" w:rsidRDefault="00C10B3A" w:rsidP="005576BB">
      <w:pPr>
        <w:spacing w:after="0"/>
        <w:rPr>
          <w:rFonts w:asciiTheme="minorHAnsi" w:hAnsiTheme="minorHAnsi" w:cstheme="minorHAnsi"/>
          <w:b/>
          <w:bCs/>
          <w:i/>
          <w:sz w:val="24"/>
          <w:szCs w:val="24"/>
        </w:rPr>
      </w:pPr>
      <w:r w:rsidRPr="005576BB">
        <w:rPr>
          <w:rStyle w:val="Strong"/>
          <w:rFonts w:asciiTheme="minorHAnsi" w:hAnsiTheme="minorHAnsi" w:cstheme="minorHAnsi"/>
          <w:sz w:val="24"/>
          <w:szCs w:val="24"/>
        </w:rPr>
        <w:t xml:space="preserve">With this new guideline, do municipalities that have already undertaken GHG inventories and reduction targets have to go back </w:t>
      </w:r>
      <w:r w:rsidR="00C310A9" w:rsidRPr="005576BB">
        <w:rPr>
          <w:rStyle w:val="Strong"/>
          <w:rFonts w:asciiTheme="minorHAnsi" w:hAnsiTheme="minorHAnsi" w:cstheme="minorHAnsi"/>
          <w:noProof/>
          <w:sz w:val="24"/>
          <w:szCs w:val="24"/>
        </w:rPr>
        <w:t>to</w:t>
      </w:r>
      <w:r w:rsidRPr="005576BB">
        <w:rPr>
          <w:rStyle w:val="Strong"/>
          <w:rFonts w:asciiTheme="minorHAnsi" w:hAnsiTheme="minorHAnsi" w:cstheme="minorHAnsi"/>
          <w:sz w:val="24"/>
          <w:szCs w:val="24"/>
        </w:rPr>
        <w:t xml:space="preserve"> previous work to review their scope?</w:t>
      </w:r>
    </w:p>
    <w:p w:rsidR="004118ED" w:rsidRPr="005576BB" w:rsidRDefault="00C10B3A" w:rsidP="005576BB">
      <w:pPr>
        <w:spacing w:after="0"/>
        <w:rPr>
          <w:rStyle w:val="Strong"/>
          <w:rFonts w:asciiTheme="minorHAnsi" w:hAnsiTheme="minorHAnsi" w:cstheme="minorHAnsi"/>
          <w:sz w:val="24"/>
          <w:szCs w:val="24"/>
        </w:rPr>
      </w:pPr>
      <w:r w:rsidRPr="005576BB">
        <w:rPr>
          <w:rFonts w:asciiTheme="minorHAnsi" w:hAnsiTheme="minorHAnsi" w:cstheme="minorHAnsi"/>
          <w:sz w:val="24"/>
          <w:szCs w:val="24"/>
        </w:rPr>
        <w:t xml:space="preserve">No, this guideline </w:t>
      </w:r>
      <w:r w:rsidR="00E70186" w:rsidRPr="005576BB">
        <w:rPr>
          <w:rFonts w:asciiTheme="minorHAnsi" w:hAnsiTheme="minorHAnsi" w:cstheme="minorHAnsi"/>
          <w:sz w:val="24"/>
          <w:szCs w:val="24"/>
        </w:rPr>
        <w:t xml:space="preserve">is </w:t>
      </w:r>
      <w:r w:rsidR="002655E1" w:rsidRPr="005576BB">
        <w:rPr>
          <w:rFonts w:asciiTheme="minorHAnsi" w:hAnsiTheme="minorHAnsi" w:cstheme="minorHAnsi"/>
          <w:sz w:val="24"/>
          <w:szCs w:val="24"/>
        </w:rPr>
        <w:t>to help municipalitie</w:t>
      </w:r>
      <w:r w:rsidR="007F3553">
        <w:rPr>
          <w:rFonts w:asciiTheme="minorHAnsi" w:hAnsiTheme="minorHAnsi" w:cstheme="minorHAnsi"/>
          <w:sz w:val="24"/>
          <w:szCs w:val="24"/>
        </w:rPr>
        <w:t>s in whichever stage they are at in</w:t>
      </w:r>
      <w:r w:rsidR="00E70186" w:rsidRPr="005576BB">
        <w:rPr>
          <w:rFonts w:asciiTheme="minorHAnsi" w:hAnsiTheme="minorHAnsi" w:cstheme="minorHAnsi"/>
          <w:sz w:val="24"/>
          <w:szCs w:val="24"/>
        </w:rPr>
        <w:t xml:space="preserve"> their GHG emissions </w:t>
      </w:r>
      <w:r w:rsidR="002655E1" w:rsidRPr="005576BB">
        <w:rPr>
          <w:rFonts w:asciiTheme="minorHAnsi" w:hAnsiTheme="minorHAnsi" w:cstheme="minorHAnsi"/>
          <w:sz w:val="24"/>
          <w:szCs w:val="24"/>
        </w:rPr>
        <w:t xml:space="preserve">reduction </w:t>
      </w:r>
      <w:r w:rsidR="00E70186" w:rsidRPr="005576BB">
        <w:rPr>
          <w:rFonts w:asciiTheme="minorHAnsi" w:hAnsiTheme="minorHAnsi" w:cstheme="minorHAnsi"/>
          <w:sz w:val="24"/>
          <w:szCs w:val="24"/>
        </w:rPr>
        <w:t xml:space="preserve">process. The province understands that </w:t>
      </w:r>
      <w:r w:rsidR="007F3553">
        <w:rPr>
          <w:rFonts w:asciiTheme="minorHAnsi" w:hAnsiTheme="minorHAnsi" w:cstheme="minorHAnsi"/>
          <w:sz w:val="24"/>
          <w:szCs w:val="24"/>
        </w:rPr>
        <w:t xml:space="preserve">the </w:t>
      </w:r>
      <w:r w:rsidR="002655E1" w:rsidRPr="005576BB">
        <w:rPr>
          <w:rFonts w:asciiTheme="minorHAnsi" w:hAnsiTheme="minorHAnsi" w:cstheme="minorHAnsi"/>
          <w:sz w:val="24"/>
          <w:szCs w:val="24"/>
        </w:rPr>
        <w:t>process of developing GHG reduction measures is</w:t>
      </w:r>
      <w:r w:rsidR="00E70186" w:rsidRPr="005576BB">
        <w:rPr>
          <w:rFonts w:asciiTheme="minorHAnsi" w:hAnsiTheme="minorHAnsi" w:cstheme="minorHAnsi"/>
          <w:sz w:val="24"/>
          <w:szCs w:val="24"/>
        </w:rPr>
        <w:t xml:space="preserve"> not easy and so this guideline provides various resources and </w:t>
      </w:r>
      <w:proofErr w:type="gramStart"/>
      <w:r w:rsidR="00E70186" w:rsidRPr="005576BB">
        <w:rPr>
          <w:rFonts w:asciiTheme="minorHAnsi" w:hAnsiTheme="minorHAnsi" w:cstheme="minorHAnsi"/>
          <w:sz w:val="24"/>
          <w:szCs w:val="24"/>
        </w:rPr>
        <w:t>best-practices</w:t>
      </w:r>
      <w:proofErr w:type="gramEnd"/>
      <w:r w:rsidR="00E70186" w:rsidRPr="005576BB">
        <w:rPr>
          <w:rFonts w:asciiTheme="minorHAnsi" w:hAnsiTheme="minorHAnsi" w:cstheme="minorHAnsi"/>
          <w:sz w:val="24"/>
          <w:szCs w:val="24"/>
        </w:rPr>
        <w:t xml:space="preserve"> to ensure that municipalities are developing strong and </w:t>
      </w:r>
      <w:r w:rsidR="002655E1" w:rsidRPr="005576BB">
        <w:rPr>
          <w:rFonts w:asciiTheme="minorHAnsi" w:hAnsiTheme="minorHAnsi" w:cstheme="minorHAnsi"/>
          <w:sz w:val="24"/>
          <w:szCs w:val="24"/>
        </w:rPr>
        <w:t>solid Climate Change Action Plans.</w:t>
      </w:r>
    </w:p>
    <w:p w:rsidR="00D93FC1" w:rsidRPr="005576BB" w:rsidRDefault="00D93FC1" w:rsidP="005576BB">
      <w:pPr>
        <w:spacing w:after="0"/>
        <w:contextualSpacing/>
        <w:rPr>
          <w:rStyle w:val="Strong"/>
          <w:rFonts w:asciiTheme="minorHAnsi" w:hAnsiTheme="minorHAnsi" w:cstheme="minorHAnsi"/>
          <w:sz w:val="24"/>
          <w:szCs w:val="24"/>
        </w:rPr>
      </w:pPr>
    </w:p>
    <w:p w:rsidR="009D295B" w:rsidRPr="005576BB" w:rsidRDefault="004118ED" w:rsidP="005576BB">
      <w:pPr>
        <w:spacing w:after="0"/>
        <w:contextualSpacing/>
        <w:rPr>
          <w:rFonts w:asciiTheme="minorHAnsi" w:hAnsiTheme="minorHAnsi" w:cstheme="minorHAnsi"/>
          <w:b/>
          <w:bCs/>
          <w:i/>
          <w:sz w:val="24"/>
          <w:szCs w:val="24"/>
        </w:rPr>
      </w:pPr>
      <w:r w:rsidRPr="005576BB">
        <w:rPr>
          <w:rStyle w:val="Strong"/>
          <w:rFonts w:asciiTheme="minorHAnsi" w:hAnsiTheme="minorHAnsi" w:cstheme="minorHAnsi"/>
          <w:sz w:val="24"/>
          <w:szCs w:val="24"/>
        </w:rPr>
        <w:t xml:space="preserve">Would the province consider a Provincial Inventory? </w:t>
      </w:r>
    </w:p>
    <w:p w:rsidR="008F6787" w:rsidRPr="005576BB" w:rsidRDefault="004118ED" w:rsidP="005576BB">
      <w:pPr>
        <w:rPr>
          <w:rFonts w:asciiTheme="minorHAnsi" w:hAnsiTheme="minorHAnsi" w:cstheme="minorHAnsi"/>
          <w:sz w:val="24"/>
          <w:szCs w:val="24"/>
        </w:rPr>
      </w:pPr>
      <w:r w:rsidRPr="005576BB">
        <w:rPr>
          <w:rFonts w:asciiTheme="minorHAnsi" w:hAnsiTheme="minorHAnsi" w:cstheme="minorHAnsi"/>
          <w:sz w:val="24"/>
          <w:szCs w:val="24"/>
        </w:rPr>
        <w:t xml:space="preserve">The province of BC did work on a </w:t>
      </w:r>
      <w:r w:rsidR="002655E1" w:rsidRPr="005576BB">
        <w:rPr>
          <w:rFonts w:asciiTheme="minorHAnsi" w:hAnsiTheme="minorHAnsi" w:cstheme="minorHAnsi"/>
          <w:sz w:val="24"/>
          <w:szCs w:val="24"/>
        </w:rPr>
        <w:t>provincial inventory. T</w:t>
      </w:r>
      <w:r w:rsidRPr="005576BB">
        <w:rPr>
          <w:rFonts w:asciiTheme="minorHAnsi" w:hAnsiTheme="minorHAnsi" w:cstheme="minorHAnsi"/>
          <w:sz w:val="24"/>
          <w:szCs w:val="24"/>
        </w:rPr>
        <w:t xml:space="preserve">his was easier for them to accomplish because they only have one utility company. There are pros and cons </w:t>
      </w:r>
      <w:r w:rsidR="00C310A9" w:rsidRPr="005576BB">
        <w:rPr>
          <w:rFonts w:asciiTheme="minorHAnsi" w:hAnsiTheme="minorHAnsi" w:cstheme="minorHAnsi"/>
          <w:noProof/>
          <w:sz w:val="24"/>
          <w:szCs w:val="24"/>
        </w:rPr>
        <w:t>to</w:t>
      </w:r>
      <w:r w:rsidRPr="005576BB">
        <w:rPr>
          <w:rFonts w:asciiTheme="minorHAnsi" w:hAnsiTheme="minorHAnsi" w:cstheme="minorHAnsi"/>
          <w:sz w:val="24"/>
          <w:szCs w:val="24"/>
        </w:rPr>
        <w:t xml:space="preserve"> the province undertaking a province-wide inventory:</w:t>
      </w:r>
    </w:p>
    <w:p w:rsidR="008F6787" w:rsidRPr="005576BB" w:rsidRDefault="009D295B" w:rsidP="005576BB">
      <w:pPr>
        <w:pStyle w:val="ListParagraph"/>
        <w:numPr>
          <w:ilvl w:val="0"/>
          <w:numId w:val="9"/>
        </w:numPr>
        <w:rPr>
          <w:rFonts w:asciiTheme="minorHAnsi" w:hAnsiTheme="minorHAnsi" w:cstheme="minorHAnsi"/>
          <w:b/>
          <w:bCs/>
          <w:i/>
          <w:sz w:val="24"/>
          <w:szCs w:val="24"/>
        </w:rPr>
      </w:pPr>
      <w:r w:rsidRPr="005576BB">
        <w:rPr>
          <w:rFonts w:asciiTheme="minorHAnsi" w:hAnsiTheme="minorHAnsi" w:cstheme="minorHAnsi"/>
          <w:sz w:val="24"/>
          <w:szCs w:val="24"/>
        </w:rPr>
        <w:t>P</w:t>
      </w:r>
      <w:r w:rsidR="004118ED" w:rsidRPr="005576BB">
        <w:rPr>
          <w:rFonts w:asciiTheme="minorHAnsi" w:hAnsiTheme="minorHAnsi" w:cstheme="minorHAnsi"/>
          <w:sz w:val="24"/>
          <w:szCs w:val="24"/>
        </w:rPr>
        <w:t>ros</w:t>
      </w:r>
      <w:r w:rsidRPr="005576BB">
        <w:rPr>
          <w:rFonts w:asciiTheme="minorHAnsi" w:hAnsiTheme="minorHAnsi" w:cstheme="minorHAnsi"/>
          <w:sz w:val="24"/>
          <w:szCs w:val="24"/>
        </w:rPr>
        <w:t>: GHG inventory data</w:t>
      </w:r>
      <w:r w:rsidR="004118ED" w:rsidRPr="005576BB">
        <w:rPr>
          <w:rFonts w:asciiTheme="minorHAnsi" w:hAnsiTheme="minorHAnsi" w:cstheme="minorHAnsi"/>
          <w:sz w:val="24"/>
          <w:szCs w:val="24"/>
        </w:rPr>
        <w:t xml:space="preserve"> </w:t>
      </w:r>
      <w:r w:rsidR="002655E1" w:rsidRPr="005576BB">
        <w:rPr>
          <w:rFonts w:asciiTheme="minorHAnsi" w:hAnsiTheme="minorHAnsi" w:cstheme="minorHAnsi"/>
          <w:sz w:val="24"/>
          <w:szCs w:val="24"/>
        </w:rPr>
        <w:t xml:space="preserve">becomes </w:t>
      </w:r>
      <w:r w:rsidR="004118ED" w:rsidRPr="005576BB">
        <w:rPr>
          <w:rFonts w:asciiTheme="minorHAnsi" w:hAnsiTheme="minorHAnsi" w:cstheme="minorHAnsi"/>
          <w:sz w:val="24"/>
          <w:szCs w:val="24"/>
        </w:rPr>
        <w:t xml:space="preserve">accessible to everyone within the province </w:t>
      </w:r>
      <w:r w:rsidRPr="005576BB">
        <w:rPr>
          <w:rFonts w:asciiTheme="minorHAnsi" w:hAnsiTheme="minorHAnsi" w:cstheme="minorHAnsi"/>
          <w:sz w:val="24"/>
          <w:szCs w:val="24"/>
        </w:rPr>
        <w:t xml:space="preserve">making it available for smaller municipalities </w:t>
      </w:r>
      <w:r w:rsidRPr="005576BB">
        <w:rPr>
          <w:rFonts w:asciiTheme="minorHAnsi" w:hAnsiTheme="minorHAnsi" w:cstheme="minorHAnsi"/>
          <w:noProof/>
          <w:sz w:val="24"/>
          <w:szCs w:val="24"/>
        </w:rPr>
        <w:t>with</w:t>
      </w:r>
      <w:r w:rsidRPr="005576BB">
        <w:rPr>
          <w:rFonts w:asciiTheme="minorHAnsi" w:hAnsiTheme="minorHAnsi" w:cstheme="minorHAnsi"/>
          <w:sz w:val="24"/>
          <w:szCs w:val="24"/>
        </w:rPr>
        <w:t xml:space="preserve"> limited staff and financial resources to get a head start </w:t>
      </w:r>
      <w:r w:rsidR="00C310A9" w:rsidRPr="005576BB">
        <w:rPr>
          <w:rFonts w:asciiTheme="minorHAnsi" w:hAnsiTheme="minorHAnsi" w:cstheme="minorHAnsi"/>
          <w:noProof/>
          <w:sz w:val="24"/>
          <w:szCs w:val="24"/>
        </w:rPr>
        <w:t>o</w:t>
      </w:r>
      <w:r w:rsidRPr="005576BB">
        <w:rPr>
          <w:rFonts w:asciiTheme="minorHAnsi" w:hAnsiTheme="minorHAnsi" w:cstheme="minorHAnsi"/>
          <w:noProof/>
          <w:sz w:val="24"/>
          <w:szCs w:val="24"/>
        </w:rPr>
        <w:t>n</w:t>
      </w:r>
      <w:r w:rsidRPr="005576BB">
        <w:rPr>
          <w:rFonts w:asciiTheme="minorHAnsi" w:hAnsiTheme="minorHAnsi" w:cstheme="minorHAnsi"/>
          <w:sz w:val="24"/>
          <w:szCs w:val="24"/>
        </w:rPr>
        <w:t xml:space="preserve"> their Climate Action Plans. </w:t>
      </w:r>
      <w:r w:rsidR="008F6787" w:rsidRPr="005576BB">
        <w:rPr>
          <w:rFonts w:asciiTheme="minorHAnsi" w:hAnsiTheme="minorHAnsi" w:cstheme="minorHAnsi"/>
          <w:sz w:val="24"/>
          <w:szCs w:val="24"/>
        </w:rPr>
        <w:t xml:space="preserve">This resource can establish a consistent method to achieve data </w:t>
      </w:r>
      <w:r w:rsidRPr="005576BB">
        <w:rPr>
          <w:rFonts w:asciiTheme="minorHAnsi" w:hAnsiTheme="minorHAnsi" w:cstheme="minorHAnsi"/>
          <w:sz w:val="24"/>
          <w:szCs w:val="24"/>
        </w:rPr>
        <w:t xml:space="preserve">analysis across a broad region. A sense of a collective awareness </w:t>
      </w:r>
      <w:proofErr w:type="gramStart"/>
      <w:r w:rsidRPr="005576BB">
        <w:rPr>
          <w:rFonts w:asciiTheme="minorHAnsi" w:hAnsiTheme="minorHAnsi" w:cstheme="minorHAnsi"/>
          <w:sz w:val="24"/>
          <w:szCs w:val="24"/>
        </w:rPr>
        <w:t>is fostered</w:t>
      </w:r>
      <w:proofErr w:type="gramEnd"/>
      <w:r w:rsidRPr="005576BB">
        <w:rPr>
          <w:rFonts w:asciiTheme="minorHAnsi" w:hAnsiTheme="minorHAnsi" w:cstheme="minorHAnsi"/>
          <w:sz w:val="24"/>
          <w:szCs w:val="24"/>
        </w:rPr>
        <w:t xml:space="preserve"> that helps with engaging communities and </w:t>
      </w:r>
      <w:r w:rsidR="00960D95">
        <w:rPr>
          <w:rFonts w:asciiTheme="minorHAnsi" w:hAnsiTheme="minorHAnsi" w:cstheme="minorHAnsi"/>
          <w:noProof/>
          <w:sz w:val="24"/>
          <w:szCs w:val="24"/>
        </w:rPr>
        <w:t xml:space="preserve">building </w:t>
      </w:r>
      <w:r w:rsidRPr="005576BB">
        <w:rPr>
          <w:rFonts w:asciiTheme="minorHAnsi" w:hAnsiTheme="minorHAnsi" w:cstheme="minorHAnsi"/>
          <w:sz w:val="24"/>
          <w:szCs w:val="24"/>
        </w:rPr>
        <w:t>support for climate change mitigation and adaptation actions.</w:t>
      </w:r>
      <w:r w:rsidR="00960D95">
        <w:rPr>
          <w:rFonts w:asciiTheme="minorHAnsi" w:hAnsiTheme="minorHAnsi" w:cstheme="minorHAnsi"/>
          <w:sz w:val="24"/>
          <w:szCs w:val="24"/>
        </w:rPr>
        <w:t xml:space="preserve"> More resources </w:t>
      </w:r>
      <w:proofErr w:type="gramStart"/>
      <w:r w:rsidR="00960D95">
        <w:rPr>
          <w:rFonts w:asciiTheme="minorHAnsi" w:hAnsiTheme="minorHAnsi" w:cstheme="minorHAnsi"/>
          <w:sz w:val="24"/>
          <w:szCs w:val="24"/>
        </w:rPr>
        <w:t>can be ideally allocated</w:t>
      </w:r>
      <w:proofErr w:type="gramEnd"/>
      <w:r w:rsidR="00960D95">
        <w:rPr>
          <w:rFonts w:asciiTheme="minorHAnsi" w:hAnsiTheme="minorHAnsi" w:cstheme="minorHAnsi"/>
          <w:sz w:val="24"/>
          <w:szCs w:val="24"/>
        </w:rPr>
        <w:t xml:space="preserve"> to stakeholder engagement and/or implementation rather than inventory development.  </w:t>
      </w:r>
    </w:p>
    <w:p w:rsidR="002655E1" w:rsidRPr="005576BB" w:rsidRDefault="008F6787" w:rsidP="005576BB">
      <w:pPr>
        <w:pStyle w:val="ListParagraph"/>
        <w:numPr>
          <w:ilvl w:val="0"/>
          <w:numId w:val="9"/>
        </w:numPr>
        <w:spacing w:after="0"/>
        <w:rPr>
          <w:rFonts w:asciiTheme="minorHAnsi" w:hAnsiTheme="minorHAnsi" w:cstheme="minorHAnsi"/>
          <w:b/>
          <w:bCs/>
          <w:i/>
          <w:sz w:val="24"/>
          <w:szCs w:val="24"/>
        </w:rPr>
      </w:pPr>
      <w:r w:rsidRPr="005576BB">
        <w:rPr>
          <w:rFonts w:asciiTheme="minorHAnsi" w:hAnsiTheme="minorHAnsi" w:cstheme="minorHAnsi"/>
          <w:sz w:val="24"/>
          <w:szCs w:val="24"/>
        </w:rPr>
        <w:lastRenderedPageBreak/>
        <w:t xml:space="preserve">Cons: </w:t>
      </w:r>
      <w:r w:rsidR="002655E1" w:rsidRPr="005576BB">
        <w:rPr>
          <w:rFonts w:asciiTheme="minorHAnsi" w:hAnsiTheme="minorHAnsi" w:cstheme="minorHAnsi"/>
          <w:sz w:val="24"/>
          <w:szCs w:val="24"/>
        </w:rPr>
        <w:t>A province-</w:t>
      </w:r>
      <w:r w:rsidR="00960D95">
        <w:rPr>
          <w:rFonts w:asciiTheme="minorHAnsi" w:hAnsiTheme="minorHAnsi" w:cstheme="minorHAnsi"/>
          <w:sz w:val="24"/>
          <w:szCs w:val="24"/>
        </w:rPr>
        <w:t>wide community GHG inventory</w:t>
      </w:r>
      <w:r w:rsidR="002655E1" w:rsidRPr="005576BB">
        <w:rPr>
          <w:rFonts w:asciiTheme="minorHAnsi" w:hAnsiTheme="minorHAnsi" w:cstheme="minorHAnsi"/>
          <w:sz w:val="24"/>
          <w:szCs w:val="24"/>
        </w:rPr>
        <w:t xml:space="preserve"> </w:t>
      </w:r>
      <w:r w:rsidR="00960D95">
        <w:rPr>
          <w:rFonts w:asciiTheme="minorHAnsi" w:hAnsiTheme="minorHAnsi" w:cstheme="minorHAnsi"/>
          <w:sz w:val="24"/>
          <w:szCs w:val="24"/>
        </w:rPr>
        <w:t xml:space="preserve">means the municipality is dependent on another level of government. It would also likely mean that it often would not be at a scale that provides guidance on </w:t>
      </w:r>
      <w:proofErr w:type="spellStart"/>
      <w:r w:rsidR="00960D95">
        <w:rPr>
          <w:rFonts w:asciiTheme="minorHAnsi" w:hAnsiTheme="minorHAnsi" w:cstheme="minorHAnsi"/>
          <w:sz w:val="24"/>
          <w:szCs w:val="24"/>
        </w:rPr>
        <w:t>ghg</w:t>
      </w:r>
      <w:proofErr w:type="spellEnd"/>
      <w:r w:rsidR="00960D95">
        <w:rPr>
          <w:rFonts w:asciiTheme="minorHAnsi" w:hAnsiTheme="minorHAnsi" w:cstheme="minorHAnsi"/>
          <w:sz w:val="24"/>
          <w:szCs w:val="24"/>
        </w:rPr>
        <w:t xml:space="preserve"> reduction opportunities at a scaled down approach. </w:t>
      </w:r>
      <w:r w:rsidR="002655E1" w:rsidRPr="005576BB">
        <w:rPr>
          <w:rFonts w:asciiTheme="minorHAnsi" w:hAnsiTheme="minorHAnsi" w:cstheme="minorHAnsi"/>
          <w:sz w:val="24"/>
          <w:szCs w:val="24"/>
        </w:rPr>
        <w:t xml:space="preserve"> </w:t>
      </w:r>
    </w:p>
    <w:p w:rsidR="002655E1" w:rsidRPr="005576BB" w:rsidRDefault="002655E1" w:rsidP="005576BB">
      <w:pPr>
        <w:spacing w:after="0"/>
        <w:rPr>
          <w:rStyle w:val="Strong"/>
          <w:rFonts w:asciiTheme="minorHAnsi" w:hAnsiTheme="minorHAnsi" w:cstheme="minorHAnsi"/>
          <w:sz w:val="24"/>
          <w:szCs w:val="24"/>
        </w:rPr>
      </w:pPr>
    </w:p>
    <w:p w:rsidR="00C5661C" w:rsidRPr="00960D95" w:rsidRDefault="009D295B" w:rsidP="00960D95">
      <w:pPr>
        <w:spacing w:after="0"/>
        <w:rPr>
          <w:rFonts w:asciiTheme="minorHAnsi" w:hAnsiTheme="minorHAnsi" w:cstheme="minorHAnsi"/>
          <w:b/>
          <w:bCs/>
          <w:i/>
          <w:sz w:val="24"/>
          <w:szCs w:val="24"/>
        </w:rPr>
      </w:pPr>
      <w:r w:rsidRPr="005576BB">
        <w:rPr>
          <w:rStyle w:val="Strong"/>
          <w:rFonts w:asciiTheme="minorHAnsi" w:hAnsiTheme="minorHAnsi" w:cstheme="minorHAnsi"/>
          <w:sz w:val="24"/>
          <w:szCs w:val="24"/>
        </w:rPr>
        <w:t>What happens when municipalities do not set an aggressive GHG target?</w:t>
      </w:r>
    </w:p>
    <w:p w:rsidR="00960D95" w:rsidRDefault="00DD5BB7" w:rsidP="005576BB">
      <w:pPr>
        <w:rPr>
          <w:rFonts w:asciiTheme="minorHAnsi" w:hAnsiTheme="minorHAnsi" w:cstheme="minorHAnsi"/>
          <w:sz w:val="24"/>
          <w:szCs w:val="24"/>
        </w:rPr>
      </w:pPr>
      <w:r w:rsidRPr="005576BB">
        <w:rPr>
          <w:rFonts w:asciiTheme="minorHAnsi" w:hAnsiTheme="minorHAnsi" w:cstheme="minorHAnsi"/>
          <w:sz w:val="24"/>
          <w:szCs w:val="24"/>
        </w:rPr>
        <w:t xml:space="preserve">It is encouraged that municipalities set aggressive GHG emission reduction targets </w:t>
      </w:r>
      <w:r w:rsidR="00960D95">
        <w:rPr>
          <w:rFonts w:asciiTheme="minorHAnsi" w:hAnsiTheme="minorHAnsi" w:cstheme="minorHAnsi"/>
          <w:sz w:val="24"/>
          <w:szCs w:val="24"/>
        </w:rPr>
        <w:t xml:space="preserve">that meet or exceed the provincial targets. </w:t>
      </w:r>
      <w:proofErr w:type="gramStart"/>
      <w:r w:rsidR="00960D95">
        <w:rPr>
          <w:rFonts w:asciiTheme="minorHAnsi" w:hAnsiTheme="minorHAnsi" w:cstheme="minorHAnsi"/>
          <w:sz w:val="24"/>
          <w:szCs w:val="24"/>
        </w:rPr>
        <w:t>B</w:t>
      </w:r>
      <w:r w:rsidRPr="005576BB">
        <w:rPr>
          <w:rFonts w:asciiTheme="minorHAnsi" w:hAnsiTheme="minorHAnsi" w:cstheme="minorHAnsi"/>
          <w:sz w:val="24"/>
          <w:szCs w:val="24"/>
        </w:rPr>
        <w:t>ut</w:t>
      </w:r>
      <w:proofErr w:type="gramEnd"/>
      <w:r w:rsidRPr="005576BB">
        <w:rPr>
          <w:rFonts w:asciiTheme="minorHAnsi" w:hAnsiTheme="minorHAnsi" w:cstheme="minorHAnsi"/>
          <w:sz w:val="24"/>
          <w:szCs w:val="24"/>
        </w:rPr>
        <w:t xml:space="preserve"> it is also understood that </w:t>
      </w:r>
      <w:r w:rsidR="00960D95">
        <w:rPr>
          <w:rFonts w:asciiTheme="minorHAnsi" w:hAnsiTheme="minorHAnsi" w:cstheme="minorHAnsi"/>
          <w:sz w:val="24"/>
          <w:szCs w:val="24"/>
        </w:rPr>
        <w:t xml:space="preserve">plans and actions are often shorter term than the target reduction dates and that they should be held accountable for reductions associated with the actions within the Plan. </w:t>
      </w:r>
    </w:p>
    <w:p w:rsidR="009D295B" w:rsidRPr="005576BB" w:rsidRDefault="00960D95" w:rsidP="005576BB">
      <w:pPr>
        <w:rPr>
          <w:rFonts w:asciiTheme="minorHAnsi" w:hAnsiTheme="minorHAnsi" w:cstheme="minorHAnsi"/>
          <w:sz w:val="24"/>
          <w:szCs w:val="24"/>
        </w:rPr>
      </w:pPr>
      <w:r>
        <w:rPr>
          <w:rFonts w:asciiTheme="minorHAnsi" w:hAnsiTheme="minorHAnsi" w:cstheme="minorHAnsi"/>
          <w:sz w:val="24"/>
          <w:szCs w:val="24"/>
        </w:rPr>
        <w:t>The approach that is often used is that the Plan outlines the target that science says we need to achieve (th</w:t>
      </w:r>
      <w:r w:rsidR="00CD3B59">
        <w:rPr>
          <w:rFonts w:asciiTheme="minorHAnsi" w:hAnsiTheme="minorHAnsi" w:cstheme="minorHAnsi"/>
          <w:sz w:val="24"/>
          <w:szCs w:val="24"/>
        </w:rPr>
        <w:t>e IPCC targets – which are also</w:t>
      </w:r>
      <w:r>
        <w:rPr>
          <w:rFonts w:asciiTheme="minorHAnsi" w:hAnsiTheme="minorHAnsi" w:cstheme="minorHAnsi"/>
          <w:sz w:val="24"/>
          <w:szCs w:val="24"/>
        </w:rPr>
        <w:t xml:space="preserve"> the Province of Ontario targets) but that the Plan speaks to the action it will undertake and then what the contributions it will make to our collective target. </w:t>
      </w:r>
      <w:r w:rsidR="00DD5BB7" w:rsidRPr="005576BB">
        <w:rPr>
          <w:rFonts w:asciiTheme="minorHAnsi" w:hAnsiTheme="minorHAnsi" w:cstheme="minorHAnsi"/>
          <w:sz w:val="24"/>
          <w:szCs w:val="24"/>
        </w:rPr>
        <w:t xml:space="preserve">The aim is </w:t>
      </w:r>
      <w:proofErr w:type="gramStart"/>
      <w:r w:rsidR="00DD5BB7" w:rsidRPr="005576BB">
        <w:rPr>
          <w:rFonts w:asciiTheme="minorHAnsi" w:hAnsiTheme="minorHAnsi" w:cstheme="minorHAnsi"/>
          <w:sz w:val="24"/>
          <w:szCs w:val="24"/>
        </w:rPr>
        <w:t>to continuously improve</w:t>
      </w:r>
      <w:proofErr w:type="gramEnd"/>
      <w:r w:rsidR="00DD5BB7" w:rsidRPr="005576BB">
        <w:rPr>
          <w:rFonts w:asciiTheme="minorHAnsi" w:hAnsiTheme="minorHAnsi" w:cstheme="minorHAnsi"/>
          <w:sz w:val="24"/>
          <w:szCs w:val="24"/>
        </w:rPr>
        <w:t xml:space="preserve"> the Climate Change Action Plans through the implementation and monitoring &amp; evaluation stages of the plans. </w:t>
      </w:r>
    </w:p>
    <w:p w:rsidR="00DD5BB7" w:rsidRPr="005576BB" w:rsidRDefault="00DD5BB7" w:rsidP="005576BB">
      <w:pPr>
        <w:rPr>
          <w:rStyle w:val="Strong"/>
          <w:rFonts w:asciiTheme="minorHAnsi" w:hAnsiTheme="minorHAnsi" w:cstheme="minorHAnsi"/>
          <w:sz w:val="24"/>
          <w:szCs w:val="24"/>
        </w:rPr>
      </w:pPr>
      <w:r w:rsidRPr="005576BB">
        <w:rPr>
          <w:rStyle w:val="Strong"/>
          <w:rFonts w:asciiTheme="minorHAnsi" w:hAnsiTheme="minorHAnsi" w:cstheme="minorHAnsi"/>
          <w:sz w:val="24"/>
          <w:szCs w:val="24"/>
        </w:rPr>
        <w:t xml:space="preserve">The guidelines </w:t>
      </w:r>
      <w:proofErr w:type="gramStart"/>
      <w:r w:rsidRPr="005576BB">
        <w:rPr>
          <w:rStyle w:val="Strong"/>
          <w:rFonts w:asciiTheme="minorHAnsi" w:hAnsiTheme="minorHAnsi" w:cstheme="minorHAnsi"/>
          <w:sz w:val="24"/>
          <w:szCs w:val="24"/>
        </w:rPr>
        <w:t>are structured</w:t>
      </w:r>
      <w:proofErr w:type="gramEnd"/>
      <w:r w:rsidRPr="005576BB">
        <w:rPr>
          <w:rStyle w:val="Strong"/>
          <w:rFonts w:asciiTheme="minorHAnsi" w:hAnsiTheme="minorHAnsi" w:cstheme="minorHAnsi"/>
          <w:sz w:val="24"/>
          <w:szCs w:val="24"/>
        </w:rPr>
        <w:t xml:space="preserve"> with the PCP program in mind and </w:t>
      </w:r>
      <w:r w:rsidRPr="005576BB">
        <w:rPr>
          <w:rStyle w:val="Strong"/>
          <w:rFonts w:asciiTheme="minorHAnsi" w:hAnsiTheme="minorHAnsi" w:cstheme="minorHAnsi"/>
          <w:noProof/>
          <w:sz w:val="24"/>
          <w:szCs w:val="24"/>
        </w:rPr>
        <w:t>take</w:t>
      </w:r>
      <w:r w:rsidR="00C310A9" w:rsidRPr="005576BB">
        <w:rPr>
          <w:rStyle w:val="Strong"/>
          <w:rFonts w:asciiTheme="minorHAnsi" w:hAnsiTheme="minorHAnsi" w:cstheme="minorHAnsi"/>
          <w:noProof/>
          <w:sz w:val="24"/>
          <w:szCs w:val="24"/>
        </w:rPr>
        <w:t xml:space="preserve">s </w:t>
      </w:r>
      <w:r w:rsidRPr="005576BB">
        <w:rPr>
          <w:rStyle w:val="Strong"/>
          <w:rFonts w:asciiTheme="minorHAnsi" w:hAnsiTheme="minorHAnsi" w:cstheme="minorHAnsi"/>
          <w:sz w:val="24"/>
          <w:szCs w:val="24"/>
        </w:rPr>
        <w:t>a linear progress</w:t>
      </w:r>
      <w:r w:rsidR="00C310A9" w:rsidRPr="005576BB">
        <w:rPr>
          <w:rStyle w:val="Strong"/>
          <w:rFonts w:asciiTheme="minorHAnsi" w:hAnsiTheme="minorHAnsi" w:cstheme="minorHAnsi"/>
          <w:sz w:val="24"/>
          <w:szCs w:val="24"/>
        </w:rPr>
        <w:t>ion to GHG emissions reductions. I</w:t>
      </w:r>
      <w:r w:rsidRPr="005576BB">
        <w:rPr>
          <w:rStyle w:val="Strong"/>
          <w:rFonts w:asciiTheme="minorHAnsi" w:hAnsiTheme="minorHAnsi" w:cstheme="minorHAnsi"/>
          <w:sz w:val="24"/>
          <w:szCs w:val="24"/>
        </w:rPr>
        <w:t xml:space="preserve">n working with smaller municipalities with limited resources, it is also important to note how they </w:t>
      </w:r>
      <w:proofErr w:type="gramStart"/>
      <w:r w:rsidR="00CD3B59">
        <w:rPr>
          <w:rStyle w:val="Strong"/>
          <w:rFonts w:asciiTheme="minorHAnsi" w:hAnsiTheme="minorHAnsi" w:cstheme="minorHAnsi"/>
          <w:sz w:val="24"/>
          <w:szCs w:val="24"/>
        </w:rPr>
        <w:t>can be supported</w:t>
      </w:r>
      <w:proofErr w:type="gramEnd"/>
      <w:r w:rsidR="00CD3B59">
        <w:rPr>
          <w:rStyle w:val="Strong"/>
          <w:rFonts w:asciiTheme="minorHAnsi" w:hAnsiTheme="minorHAnsi" w:cstheme="minorHAnsi"/>
          <w:sz w:val="24"/>
          <w:szCs w:val="24"/>
        </w:rPr>
        <w:t xml:space="preserve"> </w:t>
      </w:r>
      <w:r w:rsidRPr="005576BB">
        <w:rPr>
          <w:rStyle w:val="Strong"/>
          <w:rFonts w:asciiTheme="minorHAnsi" w:hAnsiTheme="minorHAnsi" w:cstheme="minorHAnsi"/>
          <w:sz w:val="24"/>
          <w:szCs w:val="24"/>
        </w:rPr>
        <w:t xml:space="preserve">throughout this process. What are the possible mechanisms put in place </w:t>
      </w:r>
      <w:r w:rsidR="00C5661C" w:rsidRPr="005576BB">
        <w:rPr>
          <w:rStyle w:val="Strong"/>
          <w:rFonts w:asciiTheme="minorHAnsi" w:hAnsiTheme="minorHAnsi" w:cstheme="minorHAnsi"/>
          <w:sz w:val="24"/>
          <w:szCs w:val="24"/>
        </w:rPr>
        <w:t xml:space="preserve">within the Guideline that would ensure their uptake </w:t>
      </w:r>
      <w:r w:rsidRPr="005576BB">
        <w:rPr>
          <w:rStyle w:val="Strong"/>
          <w:rFonts w:asciiTheme="minorHAnsi" w:hAnsiTheme="minorHAnsi" w:cstheme="minorHAnsi"/>
          <w:sz w:val="24"/>
          <w:szCs w:val="24"/>
        </w:rPr>
        <w:t>in GHG emission reduction work?</w:t>
      </w:r>
    </w:p>
    <w:p w:rsidR="00DD5BB7" w:rsidRPr="005576BB" w:rsidRDefault="001C0DD9" w:rsidP="005576BB">
      <w:pPr>
        <w:rPr>
          <w:rFonts w:asciiTheme="minorHAnsi" w:hAnsiTheme="minorHAnsi" w:cstheme="minorHAnsi"/>
          <w:sz w:val="24"/>
          <w:szCs w:val="24"/>
        </w:rPr>
      </w:pPr>
      <w:r w:rsidRPr="005576BB">
        <w:rPr>
          <w:rFonts w:asciiTheme="minorHAnsi" w:hAnsiTheme="minorHAnsi" w:cstheme="minorHAnsi"/>
          <w:sz w:val="24"/>
          <w:szCs w:val="24"/>
        </w:rPr>
        <w:t xml:space="preserve">Comment: </w:t>
      </w:r>
      <w:r w:rsidR="00DD5BB7" w:rsidRPr="005576BB">
        <w:rPr>
          <w:rFonts w:asciiTheme="minorHAnsi" w:hAnsiTheme="minorHAnsi" w:cstheme="minorHAnsi"/>
          <w:sz w:val="24"/>
          <w:szCs w:val="24"/>
        </w:rPr>
        <w:t xml:space="preserve">Smaller municipalities </w:t>
      </w:r>
      <w:r w:rsidRPr="005576BB">
        <w:rPr>
          <w:rFonts w:asciiTheme="minorHAnsi" w:hAnsiTheme="minorHAnsi" w:cstheme="minorHAnsi"/>
          <w:sz w:val="24"/>
          <w:szCs w:val="24"/>
        </w:rPr>
        <w:t xml:space="preserve">prefer to undertake a smaller project </w:t>
      </w:r>
      <w:r w:rsidR="00C5661C" w:rsidRPr="005576BB">
        <w:rPr>
          <w:rFonts w:asciiTheme="minorHAnsi" w:hAnsiTheme="minorHAnsi" w:cstheme="minorHAnsi"/>
          <w:sz w:val="24"/>
          <w:szCs w:val="24"/>
        </w:rPr>
        <w:t>first as they are more</w:t>
      </w:r>
      <w:r w:rsidRPr="005576BB">
        <w:rPr>
          <w:rFonts w:asciiTheme="minorHAnsi" w:hAnsiTheme="minorHAnsi" w:cstheme="minorHAnsi"/>
          <w:sz w:val="24"/>
          <w:szCs w:val="24"/>
        </w:rPr>
        <w:t xml:space="preserve"> feasible</w:t>
      </w:r>
      <w:r w:rsidR="00C5661C" w:rsidRPr="005576BB">
        <w:rPr>
          <w:rFonts w:asciiTheme="minorHAnsi" w:hAnsiTheme="minorHAnsi" w:cstheme="minorHAnsi"/>
          <w:sz w:val="24"/>
          <w:szCs w:val="24"/>
        </w:rPr>
        <w:t>--r</w:t>
      </w:r>
      <w:r w:rsidRPr="005576BB">
        <w:rPr>
          <w:rFonts w:asciiTheme="minorHAnsi" w:hAnsiTheme="minorHAnsi" w:cstheme="minorHAnsi"/>
          <w:sz w:val="24"/>
          <w:szCs w:val="24"/>
        </w:rPr>
        <w:t>equire less funding and staff time</w:t>
      </w:r>
      <w:r w:rsidR="00C5661C" w:rsidRPr="005576BB">
        <w:rPr>
          <w:rFonts w:asciiTheme="minorHAnsi" w:hAnsiTheme="minorHAnsi" w:cstheme="minorHAnsi"/>
          <w:sz w:val="24"/>
          <w:szCs w:val="24"/>
        </w:rPr>
        <w:t xml:space="preserve">. These projects are crucial in </w:t>
      </w:r>
      <w:r w:rsidRPr="005576BB">
        <w:rPr>
          <w:rFonts w:asciiTheme="minorHAnsi" w:hAnsiTheme="minorHAnsi" w:cstheme="minorHAnsi"/>
          <w:sz w:val="24"/>
          <w:szCs w:val="24"/>
        </w:rPr>
        <w:t xml:space="preserve">engaging the community and spreading awareness of GHG emissions reductions. Unfortunately, now the available funding to reduce GHG emissions are contingent on having an associated Climate Change Plan. There needs to be an equity </w:t>
      </w:r>
      <w:r w:rsidR="00C5661C" w:rsidRPr="005576BB">
        <w:rPr>
          <w:rFonts w:asciiTheme="minorHAnsi" w:hAnsiTheme="minorHAnsi" w:cstheme="minorHAnsi"/>
          <w:sz w:val="24"/>
          <w:szCs w:val="24"/>
        </w:rPr>
        <w:t>lens</w:t>
      </w:r>
      <w:r w:rsidRPr="005576BB">
        <w:rPr>
          <w:rFonts w:asciiTheme="minorHAnsi" w:hAnsiTheme="minorHAnsi" w:cstheme="minorHAnsi"/>
          <w:sz w:val="24"/>
          <w:szCs w:val="24"/>
        </w:rPr>
        <w:t xml:space="preserve"> to some mechanisms set in place by the province that indirectly sideline smaller municipalities already limited in resources. </w:t>
      </w:r>
    </w:p>
    <w:p w:rsidR="001C0DD9" w:rsidRPr="005576BB" w:rsidRDefault="001C0DD9" w:rsidP="005576BB">
      <w:pPr>
        <w:rPr>
          <w:rStyle w:val="Strong"/>
          <w:rFonts w:asciiTheme="minorHAnsi" w:hAnsiTheme="minorHAnsi" w:cstheme="minorHAnsi"/>
          <w:sz w:val="24"/>
          <w:szCs w:val="24"/>
        </w:rPr>
      </w:pPr>
      <w:r w:rsidRPr="005576BB">
        <w:rPr>
          <w:rStyle w:val="Strong"/>
          <w:rFonts w:asciiTheme="minorHAnsi" w:hAnsiTheme="minorHAnsi" w:cstheme="minorHAnsi"/>
          <w:sz w:val="24"/>
          <w:szCs w:val="24"/>
        </w:rPr>
        <w:t xml:space="preserve">Are there other comments or feedback that </w:t>
      </w:r>
      <w:proofErr w:type="gramStart"/>
      <w:r w:rsidRPr="005576BB">
        <w:rPr>
          <w:rStyle w:val="Strong"/>
          <w:rFonts w:asciiTheme="minorHAnsi" w:hAnsiTheme="minorHAnsi" w:cstheme="minorHAnsi"/>
          <w:sz w:val="24"/>
          <w:szCs w:val="24"/>
        </w:rPr>
        <w:t>should be added</w:t>
      </w:r>
      <w:proofErr w:type="gramEnd"/>
      <w:r w:rsidRPr="005576BB">
        <w:rPr>
          <w:rStyle w:val="Strong"/>
          <w:rFonts w:asciiTheme="minorHAnsi" w:hAnsiTheme="minorHAnsi" w:cstheme="minorHAnsi"/>
          <w:sz w:val="24"/>
          <w:szCs w:val="24"/>
        </w:rPr>
        <w:t xml:space="preserve"> to the Environmental Regis</w:t>
      </w:r>
      <w:r w:rsidR="000060FD" w:rsidRPr="005576BB">
        <w:rPr>
          <w:rStyle w:val="Strong"/>
          <w:rFonts w:asciiTheme="minorHAnsi" w:hAnsiTheme="minorHAnsi" w:cstheme="minorHAnsi"/>
          <w:sz w:val="24"/>
          <w:szCs w:val="24"/>
        </w:rPr>
        <w:t>try regarding the GHG emissions?</w:t>
      </w:r>
    </w:p>
    <w:p w:rsidR="000060FD" w:rsidRPr="005576BB" w:rsidRDefault="000060FD" w:rsidP="005576BB">
      <w:pPr>
        <w:rPr>
          <w:rFonts w:asciiTheme="minorHAnsi" w:hAnsiTheme="minorHAnsi" w:cstheme="minorHAnsi"/>
          <w:sz w:val="24"/>
          <w:szCs w:val="24"/>
        </w:rPr>
      </w:pPr>
      <w:r w:rsidRPr="005576BB">
        <w:rPr>
          <w:rFonts w:asciiTheme="minorHAnsi" w:hAnsiTheme="minorHAnsi" w:cstheme="minorHAnsi"/>
          <w:sz w:val="24"/>
          <w:szCs w:val="24"/>
        </w:rPr>
        <w:t xml:space="preserve">Stakeholder outreach with the utilities </w:t>
      </w:r>
      <w:proofErr w:type="gramStart"/>
      <w:r w:rsidRPr="005576BB">
        <w:rPr>
          <w:rFonts w:asciiTheme="minorHAnsi" w:hAnsiTheme="minorHAnsi" w:cstheme="minorHAnsi"/>
          <w:sz w:val="24"/>
          <w:szCs w:val="24"/>
        </w:rPr>
        <w:t xml:space="preserve">should </w:t>
      </w:r>
      <w:r w:rsidRPr="005576BB">
        <w:rPr>
          <w:rFonts w:asciiTheme="minorHAnsi" w:hAnsiTheme="minorHAnsi" w:cstheme="minorHAnsi"/>
          <w:noProof/>
          <w:sz w:val="24"/>
          <w:szCs w:val="24"/>
        </w:rPr>
        <w:t>be emph</w:t>
      </w:r>
      <w:r w:rsidR="00C5661C" w:rsidRPr="005576BB">
        <w:rPr>
          <w:rFonts w:asciiTheme="minorHAnsi" w:hAnsiTheme="minorHAnsi" w:cstheme="minorHAnsi"/>
          <w:noProof/>
          <w:sz w:val="24"/>
          <w:szCs w:val="24"/>
        </w:rPr>
        <w:t>asize</w:t>
      </w:r>
      <w:r w:rsidR="00C310A9" w:rsidRPr="005576BB">
        <w:rPr>
          <w:rFonts w:asciiTheme="minorHAnsi" w:hAnsiTheme="minorHAnsi" w:cstheme="minorHAnsi"/>
          <w:noProof/>
          <w:sz w:val="24"/>
          <w:szCs w:val="24"/>
        </w:rPr>
        <w:t>d</w:t>
      </w:r>
      <w:proofErr w:type="gramEnd"/>
      <w:r w:rsidR="00C5661C" w:rsidRPr="005576BB">
        <w:rPr>
          <w:rFonts w:asciiTheme="minorHAnsi" w:hAnsiTheme="minorHAnsi" w:cstheme="minorHAnsi"/>
          <w:sz w:val="24"/>
          <w:szCs w:val="24"/>
        </w:rPr>
        <w:t xml:space="preserve"> especially i</w:t>
      </w:r>
      <w:r w:rsidRPr="005576BB">
        <w:rPr>
          <w:rFonts w:asciiTheme="minorHAnsi" w:hAnsiTheme="minorHAnsi" w:cstheme="minorHAnsi"/>
          <w:sz w:val="24"/>
          <w:szCs w:val="24"/>
        </w:rPr>
        <w:t>n the first and second stage of the planning pr</w:t>
      </w:r>
      <w:r w:rsidR="00C5661C" w:rsidRPr="005576BB">
        <w:rPr>
          <w:rFonts w:asciiTheme="minorHAnsi" w:hAnsiTheme="minorHAnsi" w:cstheme="minorHAnsi"/>
          <w:sz w:val="24"/>
          <w:szCs w:val="24"/>
        </w:rPr>
        <w:t>ocess.</w:t>
      </w:r>
      <w:r w:rsidR="00CD3B59">
        <w:rPr>
          <w:rFonts w:asciiTheme="minorHAnsi" w:hAnsiTheme="minorHAnsi" w:cstheme="minorHAnsi"/>
          <w:sz w:val="24"/>
          <w:szCs w:val="24"/>
        </w:rPr>
        <w:t xml:space="preserve"> </w:t>
      </w:r>
      <w:r w:rsidRPr="005576BB">
        <w:rPr>
          <w:rFonts w:asciiTheme="minorHAnsi" w:hAnsiTheme="minorHAnsi" w:cstheme="minorHAnsi"/>
          <w:sz w:val="24"/>
          <w:szCs w:val="24"/>
        </w:rPr>
        <w:t xml:space="preserve">Engagement with the community and stakeholders is essential to drive momentum and support of climate actions in the </w:t>
      </w:r>
      <w:proofErr w:type="gramStart"/>
      <w:r w:rsidRPr="005576BB">
        <w:rPr>
          <w:rFonts w:asciiTheme="minorHAnsi" w:hAnsiTheme="minorHAnsi" w:cstheme="minorHAnsi"/>
          <w:sz w:val="24"/>
          <w:szCs w:val="24"/>
        </w:rPr>
        <w:t>long-run</w:t>
      </w:r>
      <w:proofErr w:type="gramEnd"/>
      <w:r w:rsidRPr="005576BB">
        <w:rPr>
          <w:rFonts w:asciiTheme="minorHAnsi" w:hAnsiTheme="minorHAnsi" w:cstheme="minorHAnsi"/>
          <w:sz w:val="24"/>
          <w:szCs w:val="24"/>
        </w:rPr>
        <w:t xml:space="preserve">. </w:t>
      </w:r>
    </w:p>
    <w:p w:rsidR="00CD3B59" w:rsidRDefault="00B93EA3" w:rsidP="005576BB">
      <w:pPr>
        <w:pStyle w:val="ListParagraph"/>
        <w:numPr>
          <w:ilvl w:val="1"/>
          <w:numId w:val="10"/>
        </w:numPr>
        <w:rPr>
          <w:rFonts w:asciiTheme="minorHAnsi" w:hAnsiTheme="minorHAnsi" w:cstheme="minorHAnsi"/>
          <w:sz w:val="24"/>
          <w:szCs w:val="24"/>
        </w:rPr>
      </w:pPr>
      <w:r w:rsidRPr="005576BB">
        <w:rPr>
          <w:rFonts w:asciiTheme="minorHAnsi" w:hAnsiTheme="minorHAnsi" w:cstheme="minorHAnsi"/>
          <w:sz w:val="24"/>
          <w:szCs w:val="24"/>
        </w:rPr>
        <w:t>The province should use the actions and</w:t>
      </w:r>
      <w:r w:rsidR="00C5661C" w:rsidRPr="005576BB">
        <w:rPr>
          <w:rFonts w:asciiTheme="minorHAnsi" w:hAnsiTheme="minorHAnsi" w:cstheme="minorHAnsi"/>
          <w:sz w:val="24"/>
          <w:szCs w:val="24"/>
        </w:rPr>
        <w:t xml:space="preserve"> subsequent</w:t>
      </w:r>
      <w:r w:rsidRPr="005576BB">
        <w:rPr>
          <w:rFonts w:asciiTheme="minorHAnsi" w:hAnsiTheme="minorHAnsi" w:cstheme="minorHAnsi"/>
          <w:sz w:val="24"/>
          <w:szCs w:val="24"/>
        </w:rPr>
        <w:t xml:space="preserve"> results generated by the Green Energy Act </w:t>
      </w:r>
      <w:r w:rsidR="00C5661C" w:rsidRPr="005576BB">
        <w:rPr>
          <w:rFonts w:asciiTheme="minorHAnsi" w:hAnsiTheme="minorHAnsi" w:cstheme="minorHAnsi"/>
          <w:sz w:val="24"/>
          <w:szCs w:val="24"/>
        </w:rPr>
        <w:t xml:space="preserve">to develop communication tools/resources that aim </w:t>
      </w:r>
      <w:r w:rsidRPr="005576BB">
        <w:rPr>
          <w:rFonts w:asciiTheme="minorHAnsi" w:hAnsiTheme="minorHAnsi" w:cstheme="minorHAnsi"/>
          <w:sz w:val="24"/>
          <w:szCs w:val="24"/>
        </w:rPr>
        <w:t xml:space="preserve">to demonstrate the </w:t>
      </w:r>
      <w:r w:rsidR="00C5661C" w:rsidRPr="005576BB">
        <w:rPr>
          <w:rFonts w:asciiTheme="minorHAnsi" w:hAnsiTheme="minorHAnsi" w:cstheme="minorHAnsi"/>
          <w:sz w:val="24"/>
          <w:szCs w:val="24"/>
        </w:rPr>
        <w:t xml:space="preserve">quantitative and qualitative </w:t>
      </w:r>
      <w:r w:rsidRPr="005576BB">
        <w:rPr>
          <w:rFonts w:asciiTheme="minorHAnsi" w:hAnsiTheme="minorHAnsi" w:cstheme="minorHAnsi"/>
          <w:sz w:val="24"/>
          <w:szCs w:val="24"/>
        </w:rPr>
        <w:t xml:space="preserve">benefits </w:t>
      </w:r>
      <w:r w:rsidR="00C5661C" w:rsidRPr="005576BB">
        <w:rPr>
          <w:rFonts w:asciiTheme="minorHAnsi" w:hAnsiTheme="minorHAnsi" w:cstheme="minorHAnsi"/>
          <w:sz w:val="24"/>
          <w:szCs w:val="24"/>
        </w:rPr>
        <w:t>of</w:t>
      </w:r>
      <w:r w:rsidR="003E288C" w:rsidRPr="005576BB">
        <w:rPr>
          <w:rFonts w:asciiTheme="minorHAnsi" w:hAnsiTheme="minorHAnsi" w:cstheme="minorHAnsi"/>
          <w:sz w:val="24"/>
          <w:szCs w:val="24"/>
        </w:rPr>
        <w:t xml:space="preserve"> environmentally conscious actions.</w:t>
      </w:r>
    </w:p>
    <w:p w:rsidR="003E288C" w:rsidRPr="00CD3B59" w:rsidRDefault="003E288C" w:rsidP="005576BB">
      <w:pPr>
        <w:pStyle w:val="ListParagraph"/>
        <w:numPr>
          <w:ilvl w:val="1"/>
          <w:numId w:val="10"/>
        </w:numPr>
        <w:rPr>
          <w:rFonts w:asciiTheme="minorHAnsi" w:hAnsiTheme="minorHAnsi" w:cstheme="minorHAnsi"/>
          <w:sz w:val="24"/>
          <w:szCs w:val="24"/>
        </w:rPr>
      </w:pPr>
      <w:proofErr w:type="gramStart"/>
      <w:r w:rsidRPr="00CD3B59">
        <w:rPr>
          <w:rFonts w:asciiTheme="minorHAnsi" w:hAnsiTheme="minorHAnsi" w:cstheme="minorHAnsi"/>
          <w:sz w:val="24"/>
          <w:szCs w:val="24"/>
        </w:rPr>
        <w:lastRenderedPageBreak/>
        <w:t>The province has done great work with this GHG Guidelines document</w:t>
      </w:r>
      <w:r w:rsidR="00C5661C" w:rsidRPr="00CD3B59">
        <w:rPr>
          <w:rFonts w:asciiTheme="minorHAnsi" w:hAnsiTheme="minorHAnsi" w:cstheme="minorHAnsi"/>
          <w:sz w:val="24"/>
          <w:szCs w:val="24"/>
        </w:rPr>
        <w:t>—</w:t>
      </w:r>
      <w:r w:rsidRPr="00CD3B59">
        <w:rPr>
          <w:rFonts w:asciiTheme="minorHAnsi" w:hAnsiTheme="minorHAnsi" w:cstheme="minorHAnsi"/>
          <w:sz w:val="24"/>
          <w:szCs w:val="24"/>
        </w:rPr>
        <w:t>it</w:t>
      </w:r>
      <w:r w:rsidR="00C5661C" w:rsidRPr="00CD3B59">
        <w:rPr>
          <w:rFonts w:asciiTheme="minorHAnsi" w:hAnsiTheme="minorHAnsi" w:cstheme="minorHAnsi"/>
          <w:sz w:val="24"/>
          <w:szCs w:val="24"/>
        </w:rPr>
        <w:t xml:space="preserve"> </w:t>
      </w:r>
      <w:r w:rsidRPr="00CD3B59">
        <w:rPr>
          <w:rFonts w:asciiTheme="minorHAnsi" w:hAnsiTheme="minorHAnsi" w:cstheme="minorHAnsi"/>
          <w:sz w:val="24"/>
          <w:szCs w:val="24"/>
        </w:rPr>
        <w:t xml:space="preserve">is easy to read, it is formatted in a way that caters to municipalities at different levels of GHG emissions reduction planning/implementation, and can be used to show council and communities (especially for leading municipalities that have undertaken these steps already </w:t>
      </w:r>
      <w:r w:rsidR="0001571B" w:rsidRPr="00CD3B59">
        <w:rPr>
          <w:rFonts w:asciiTheme="minorHAnsi" w:hAnsiTheme="minorHAnsi" w:cstheme="minorHAnsi"/>
          <w:sz w:val="24"/>
          <w:szCs w:val="24"/>
        </w:rPr>
        <w:t>against much reluctance and limited support) that they are doing great work and it is being recognized by the provincial government.</w:t>
      </w:r>
      <w:proofErr w:type="gramEnd"/>
    </w:p>
    <w:p w:rsidR="0001571B" w:rsidRPr="005576BB" w:rsidRDefault="0001571B" w:rsidP="005576BB">
      <w:pPr>
        <w:pStyle w:val="Heading3"/>
        <w:jc w:val="left"/>
        <w:rPr>
          <w:rFonts w:asciiTheme="minorHAnsi" w:hAnsiTheme="minorHAnsi" w:cstheme="minorHAnsi"/>
          <w:sz w:val="24"/>
          <w:szCs w:val="24"/>
        </w:rPr>
      </w:pPr>
      <w:bookmarkStart w:id="15" w:name="_Toc505250360"/>
      <w:r w:rsidRPr="005576BB">
        <w:rPr>
          <w:rFonts w:asciiTheme="minorHAnsi" w:hAnsiTheme="minorHAnsi" w:cstheme="minorHAnsi"/>
          <w:sz w:val="24"/>
          <w:szCs w:val="24"/>
        </w:rPr>
        <w:t>Michael Brophy, MOE: Summary of Municipal Feedback on Municipal Energy Planning Program</w:t>
      </w:r>
      <w:bookmarkEnd w:id="15"/>
    </w:p>
    <w:p w:rsidR="0061623C" w:rsidRPr="005576BB" w:rsidRDefault="00CD3B59" w:rsidP="005576BB">
      <w:pPr>
        <w:rPr>
          <w:rFonts w:asciiTheme="minorHAnsi" w:hAnsiTheme="minorHAnsi" w:cstheme="minorHAnsi"/>
          <w:sz w:val="24"/>
          <w:szCs w:val="24"/>
        </w:rPr>
      </w:pPr>
      <w:r>
        <w:rPr>
          <w:rFonts w:asciiTheme="minorHAnsi" w:hAnsiTheme="minorHAnsi" w:cstheme="minorHAnsi"/>
          <w:sz w:val="24"/>
          <w:szCs w:val="24"/>
        </w:rPr>
        <w:t>Through regulation 397/11</w:t>
      </w:r>
      <w:r w:rsidR="0061623C" w:rsidRPr="005576BB">
        <w:rPr>
          <w:rFonts w:asciiTheme="minorHAnsi" w:hAnsiTheme="minorHAnsi" w:cstheme="minorHAnsi"/>
          <w:sz w:val="24"/>
          <w:szCs w:val="24"/>
        </w:rPr>
        <w:t xml:space="preserve"> the BPS (Broader Publi</w:t>
      </w:r>
      <w:r w:rsidR="00C5661C" w:rsidRPr="005576BB">
        <w:rPr>
          <w:rFonts w:asciiTheme="minorHAnsi" w:hAnsiTheme="minorHAnsi" w:cstheme="minorHAnsi"/>
          <w:sz w:val="24"/>
          <w:szCs w:val="24"/>
        </w:rPr>
        <w:t xml:space="preserve">c Sector) </w:t>
      </w:r>
      <w:r>
        <w:rPr>
          <w:rFonts w:asciiTheme="minorHAnsi" w:hAnsiTheme="minorHAnsi" w:cstheme="minorHAnsi"/>
          <w:sz w:val="24"/>
          <w:szCs w:val="24"/>
        </w:rPr>
        <w:t xml:space="preserve">have to report their energy use for their facilities on an annual basis and develop Energy Conservation Plans every 5 years. The first one was in 2014 and the next one is in July 1, 2019. </w:t>
      </w:r>
    </w:p>
    <w:p w:rsidR="00136A7B" w:rsidRPr="005576BB" w:rsidRDefault="00C5661C" w:rsidP="005576BB">
      <w:pPr>
        <w:rPr>
          <w:rFonts w:asciiTheme="minorHAnsi" w:hAnsiTheme="minorHAnsi" w:cstheme="minorHAnsi"/>
          <w:sz w:val="24"/>
          <w:szCs w:val="24"/>
        </w:rPr>
      </w:pPr>
      <w:r w:rsidRPr="005576BB">
        <w:rPr>
          <w:rFonts w:asciiTheme="minorHAnsi" w:hAnsiTheme="minorHAnsi" w:cstheme="minorHAnsi"/>
          <w:sz w:val="24"/>
          <w:szCs w:val="24"/>
        </w:rPr>
        <w:t xml:space="preserve">Municipal </w:t>
      </w:r>
      <w:r w:rsidR="00CD3B59">
        <w:rPr>
          <w:rFonts w:asciiTheme="minorHAnsi" w:hAnsiTheme="minorHAnsi" w:cstheme="minorHAnsi"/>
          <w:sz w:val="24"/>
          <w:szCs w:val="24"/>
        </w:rPr>
        <w:t xml:space="preserve">Energy Plan program is a </w:t>
      </w:r>
      <w:r w:rsidRPr="005576BB">
        <w:rPr>
          <w:rFonts w:asciiTheme="minorHAnsi" w:hAnsiTheme="minorHAnsi" w:cstheme="minorHAnsi"/>
          <w:sz w:val="24"/>
          <w:szCs w:val="24"/>
        </w:rPr>
        <w:t>funding stream</w:t>
      </w:r>
      <w:r w:rsidR="00526AA1" w:rsidRPr="005576BB">
        <w:rPr>
          <w:rFonts w:asciiTheme="minorHAnsi" w:hAnsiTheme="minorHAnsi" w:cstheme="minorHAnsi"/>
          <w:sz w:val="24"/>
          <w:szCs w:val="24"/>
        </w:rPr>
        <w:t xml:space="preserve"> for creating community energy plans</w:t>
      </w:r>
      <w:r w:rsidRPr="005576BB">
        <w:rPr>
          <w:rFonts w:asciiTheme="minorHAnsi" w:hAnsiTheme="minorHAnsi" w:cstheme="minorHAnsi"/>
          <w:sz w:val="24"/>
          <w:szCs w:val="24"/>
        </w:rPr>
        <w:t>.</w:t>
      </w:r>
      <w:r w:rsidR="006645A5" w:rsidRPr="005576BB">
        <w:rPr>
          <w:rFonts w:asciiTheme="minorHAnsi" w:hAnsiTheme="minorHAnsi" w:cstheme="minorHAnsi"/>
          <w:sz w:val="24"/>
          <w:szCs w:val="24"/>
        </w:rPr>
        <w:t xml:space="preserve"> </w:t>
      </w:r>
      <w:r w:rsidR="00136A7B" w:rsidRPr="005576BB">
        <w:rPr>
          <w:rFonts w:asciiTheme="minorHAnsi" w:hAnsiTheme="minorHAnsi" w:cstheme="minorHAnsi"/>
          <w:sz w:val="24"/>
          <w:szCs w:val="24"/>
        </w:rPr>
        <w:t xml:space="preserve">The Municipal Energy Plan Program provides up to $90,000 </w:t>
      </w:r>
      <w:r w:rsidR="00CD3B59">
        <w:rPr>
          <w:rFonts w:asciiTheme="minorHAnsi" w:hAnsiTheme="minorHAnsi" w:cstheme="minorHAnsi"/>
          <w:sz w:val="24"/>
          <w:szCs w:val="24"/>
        </w:rPr>
        <w:t xml:space="preserve">towards the development of Municipal Energy Plans. There is a </w:t>
      </w:r>
      <w:r w:rsidR="00136A7B" w:rsidRPr="005576BB">
        <w:rPr>
          <w:rFonts w:asciiTheme="minorHAnsi" w:hAnsiTheme="minorHAnsi" w:cstheme="minorHAnsi"/>
          <w:sz w:val="24"/>
          <w:szCs w:val="24"/>
        </w:rPr>
        <w:t xml:space="preserve">second tier funding opportunity </w:t>
      </w:r>
      <w:r w:rsidR="006645A5" w:rsidRPr="005576BB">
        <w:rPr>
          <w:rFonts w:asciiTheme="minorHAnsi" w:hAnsiTheme="minorHAnsi" w:cstheme="minorHAnsi"/>
          <w:sz w:val="24"/>
          <w:szCs w:val="24"/>
        </w:rPr>
        <w:t xml:space="preserve">of $25,000 </w:t>
      </w:r>
      <w:r w:rsidR="00EF763D" w:rsidRPr="005576BB">
        <w:rPr>
          <w:rFonts w:asciiTheme="minorHAnsi" w:hAnsiTheme="minorHAnsi" w:cstheme="minorHAnsi"/>
          <w:sz w:val="24"/>
          <w:szCs w:val="24"/>
        </w:rPr>
        <w:t xml:space="preserve">of matching funding </w:t>
      </w:r>
      <w:r w:rsidR="006645A5" w:rsidRPr="005576BB">
        <w:rPr>
          <w:rFonts w:asciiTheme="minorHAnsi" w:hAnsiTheme="minorHAnsi" w:cstheme="minorHAnsi"/>
          <w:sz w:val="24"/>
          <w:szCs w:val="24"/>
        </w:rPr>
        <w:t xml:space="preserve">available </w:t>
      </w:r>
      <w:r w:rsidR="00CD3B59">
        <w:rPr>
          <w:rFonts w:asciiTheme="minorHAnsi" w:hAnsiTheme="minorHAnsi" w:cstheme="minorHAnsi"/>
          <w:sz w:val="24"/>
          <w:szCs w:val="24"/>
        </w:rPr>
        <w:t xml:space="preserve">to fund an </w:t>
      </w:r>
      <w:r w:rsidR="00136A7B" w:rsidRPr="005576BB">
        <w:rPr>
          <w:rFonts w:asciiTheme="minorHAnsi" w:hAnsiTheme="minorHAnsi" w:cstheme="minorHAnsi"/>
          <w:sz w:val="24"/>
          <w:szCs w:val="24"/>
        </w:rPr>
        <w:t xml:space="preserve">update </w:t>
      </w:r>
      <w:r w:rsidR="00CD3B59">
        <w:rPr>
          <w:rFonts w:asciiTheme="minorHAnsi" w:hAnsiTheme="minorHAnsi" w:cstheme="minorHAnsi"/>
          <w:sz w:val="24"/>
          <w:szCs w:val="24"/>
        </w:rPr>
        <w:t xml:space="preserve">or deeper dive into an </w:t>
      </w:r>
      <w:r w:rsidR="006645A5" w:rsidRPr="005576BB">
        <w:rPr>
          <w:rFonts w:asciiTheme="minorHAnsi" w:hAnsiTheme="minorHAnsi" w:cstheme="minorHAnsi"/>
          <w:sz w:val="24"/>
          <w:szCs w:val="24"/>
        </w:rPr>
        <w:t xml:space="preserve">existing </w:t>
      </w:r>
      <w:r w:rsidR="001B0D78">
        <w:rPr>
          <w:rFonts w:asciiTheme="minorHAnsi" w:hAnsiTheme="minorHAnsi" w:cstheme="minorHAnsi"/>
          <w:sz w:val="24"/>
          <w:szCs w:val="24"/>
        </w:rPr>
        <w:t xml:space="preserve">Energy Plan (at the community level). </w:t>
      </w:r>
    </w:p>
    <w:p w:rsidR="00136A7B" w:rsidRPr="005576BB" w:rsidRDefault="00136A7B" w:rsidP="005576BB">
      <w:pPr>
        <w:pStyle w:val="ListParagraph"/>
        <w:numPr>
          <w:ilvl w:val="0"/>
          <w:numId w:val="4"/>
        </w:numPr>
        <w:rPr>
          <w:rFonts w:asciiTheme="minorHAnsi" w:hAnsiTheme="minorHAnsi" w:cstheme="minorHAnsi"/>
          <w:sz w:val="24"/>
          <w:szCs w:val="24"/>
        </w:rPr>
      </w:pPr>
      <w:r w:rsidRPr="005576BB">
        <w:rPr>
          <w:rFonts w:asciiTheme="minorHAnsi" w:hAnsiTheme="minorHAnsi" w:cstheme="minorHAnsi"/>
          <w:sz w:val="24"/>
          <w:szCs w:val="24"/>
        </w:rPr>
        <w:t xml:space="preserve">Both funding </w:t>
      </w:r>
      <w:r w:rsidR="006645A5" w:rsidRPr="005576BB">
        <w:rPr>
          <w:rFonts w:asciiTheme="minorHAnsi" w:hAnsiTheme="minorHAnsi" w:cstheme="minorHAnsi"/>
          <w:sz w:val="24"/>
          <w:szCs w:val="24"/>
        </w:rPr>
        <w:t>tiers</w:t>
      </w:r>
      <w:r w:rsidRPr="005576BB">
        <w:rPr>
          <w:rFonts w:asciiTheme="minorHAnsi" w:hAnsiTheme="minorHAnsi" w:cstheme="minorHAnsi"/>
          <w:sz w:val="24"/>
          <w:szCs w:val="24"/>
        </w:rPr>
        <w:t xml:space="preserve"> cover up to 50% of the </w:t>
      </w:r>
      <w:r w:rsidR="006645A5" w:rsidRPr="005576BB">
        <w:rPr>
          <w:rFonts w:asciiTheme="minorHAnsi" w:hAnsiTheme="minorHAnsi" w:cstheme="minorHAnsi"/>
          <w:sz w:val="24"/>
          <w:szCs w:val="24"/>
        </w:rPr>
        <w:t xml:space="preserve">municipal </w:t>
      </w:r>
      <w:r w:rsidRPr="005576BB">
        <w:rPr>
          <w:rFonts w:asciiTheme="minorHAnsi" w:hAnsiTheme="minorHAnsi" w:cstheme="minorHAnsi"/>
          <w:sz w:val="24"/>
          <w:szCs w:val="24"/>
        </w:rPr>
        <w:t>budget presented to the Ministry</w:t>
      </w:r>
      <w:r w:rsidR="006645A5" w:rsidRPr="005576BB">
        <w:rPr>
          <w:rFonts w:asciiTheme="minorHAnsi" w:hAnsiTheme="minorHAnsi" w:cstheme="minorHAnsi"/>
          <w:sz w:val="24"/>
          <w:szCs w:val="24"/>
        </w:rPr>
        <w:t xml:space="preserve"> through the application process</w:t>
      </w:r>
      <w:r w:rsidRPr="005576BB">
        <w:rPr>
          <w:rFonts w:asciiTheme="minorHAnsi" w:hAnsiTheme="minorHAnsi" w:cstheme="minorHAnsi"/>
          <w:sz w:val="24"/>
          <w:szCs w:val="24"/>
        </w:rPr>
        <w:t>.</w:t>
      </w:r>
    </w:p>
    <w:p w:rsidR="001B0D78" w:rsidRDefault="00136A7B" w:rsidP="00F14BE4">
      <w:pPr>
        <w:pStyle w:val="ListParagraph"/>
        <w:numPr>
          <w:ilvl w:val="0"/>
          <w:numId w:val="4"/>
        </w:numPr>
        <w:rPr>
          <w:rFonts w:asciiTheme="minorHAnsi" w:hAnsiTheme="minorHAnsi" w:cstheme="minorHAnsi"/>
          <w:sz w:val="24"/>
          <w:szCs w:val="24"/>
        </w:rPr>
      </w:pPr>
      <w:r w:rsidRPr="001B0D78">
        <w:rPr>
          <w:rFonts w:asciiTheme="minorHAnsi" w:hAnsiTheme="minorHAnsi" w:cstheme="minorHAnsi"/>
          <w:sz w:val="24"/>
          <w:szCs w:val="24"/>
        </w:rPr>
        <w:t xml:space="preserve">The contracts </w:t>
      </w:r>
      <w:r w:rsidR="006645A5" w:rsidRPr="001B0D78">
        <w:rPr>
          <w:rFonts w:asciiTheme="minorHAnsi" w:hAnsiTheme="minorHAnsi" w:cstheme="minorHAnsi"/>
          <w:sz w:val="24"/>
          <w:szCs w:val="24"/>
        </w:rPr>
        <w:t xml:space="preserve">generated from the MOE are strictly between the ministry and the municipality.  </w:t>
      </w:r>
      <w:r w:rsidRPr="001B0D78">
        <w:rPr>
          <w:rFonts w:asciiTheme="minorHAnsi" w:hAnsiTheme="minorHAnsi" w:cstheme="minorHAnsi"/>
          <w:sz w:val="24"/>
          <w:szCs w:val="24"/>
        </w:rPr>
        <w:t>This does not limit municipalities from work</w:t>
      </w:r>
      <w:r w:rsidR="006645A5" w:rsidRPr="001B0D78">
        <w:rPr>
          <w:rFonts w:asciiTheme="minorHAnsi" w:hAnsiTheme="minorHAnsi" w:cstheme="minorHAnsi"/>
          <w:sz w:val="24"/>
          <w:szCs w:val="24"/>
        </w:rPr>
        <w:t xml:space="preserve">ing with </w:t>
      </w:r>
      <w:r w:rsidR="001B0D78" w:rsidRPr="001B0D78">
        <w:rPr>
          <w:rFonts w:asciiTheme="minorHAnsi" w:hAnsiTheme="minorHAnsi" w:cstheme="minorHAnsi"/>
          <w:sz w:val="24"/>
          <w:szCs w:val="24"/>
        </w:rPr>
        <w:t xml:space="preserve">stakeholders or consultants but the Municipality has to be the one who applies and the contract is between the municipality and the province. </w:t>
      </w:r>
    </w:p>
    <w:p w:rsidR="001B0D78" w:rsidRPr="001B0D78" w:rsidRDefault="001B0D78" w:rsidP="001B0D78">
      <w:pPr>
        <w:rPr>
          <w:rFonts w:asciiTheme="minorHAnsi" w:hAnsiTheme="minorHAnsi" w:cstheme="minorHAnsi"/>
          <w:b/>
          <w:sz w:val="24"/>
          <w:szCs w:val="24"/>
        </w:rPr>
      </w:pPr>
      <w:r w:rsidRPr="001B0D78">
        <w:rPr>
          <w:rFonts w:asciiTheme="minorHAnsi" w:hAnsiTheme="minorHAnsi" w:cstheme="minorHAnsi"/>
          <w:b/>
          <w:sz w:val="24"/>
          <w:szCs w:val="24"/>
        </w:rPr>
        <w:t>Feedback</w:t>
      </w:r>
    </w:p>
    <w:p w:rsidR="003B3932" w:rsidRDefault="001B0D78" w:rsidP="001B0D78">
      <w:pPr>
        <w:pStyle w:val="ListParagraph"/>
        <w:numPr>
          <w:ilvl w:val="0"/>
          <w:numId w:val="20"/>
        </w:numPr>
        <w:rPr>
          <w:rFonts w:asciiTheme="minorHAnsi" w:hAnsiTheme="minorHAnsi" w:cstheme="minorHAnsi"/>
          <w:sz w:val="24"/>
          <w:szCs w:val="24"/>
        </w:rPr>
      </w:pPr>
      <w:r w:rsidRPr="001B0D78">
        <w:rPr>
          <w:rFonts w:asciiTheme="minorHAnsi" w:hAnsiTheme="minorHAnsi" w:cstheme="minorHAnsi"/>
          <w:sz w:val="24"/>
          <w:szCs w:val="24"/>
        </w:rPr>
        <w:t xml:space="preserve">FCM’s </w:t>
      </w:r>
      <w:r w:rsidR="00194317" w:rsidRPr="001B0D78">
        <w:rPr>
          <w:rFonts w:asciiTheme="minorHAnsi" w:hAnsiTheme="minorHAnsi" w:cstheme="minorHAnsi"/>
          <w:sz w:val="24"/>
          <w:szCs w:val="24"/>
        </w:rPr>
        <w:t>Municipalities for Climate Innovation</w:t>
      </w:r>
      <w:r w:rsidRPr="001B0D78">
        <w:rPr>
          <w:rFonts w:asciiTheme="minorHAnsi" w:hAnsiTheme="minorHAnsi" w:cstheme="minorHAnsi"/>
          <w:sz w:val="24"/>
          <w:szCs w:val="24"/>
        </w:rPr>
        <w:t xml:space="preserve"> funding stream</w:t>
      </w:r>
      <w:r w:rsidR="00194317" w:rsidRPr="001B0D78">
        <w:rPr>
          <w:rFonts w:asciiTheme="minorHAnsi" w:hAnsiTheme="minorHAnsi" w:cstheme="minorHAnsi"/>
          <w:sz w:val="24"/>
          <w:szCs w:val="24"/>
        </w:rPr>
        <w:t xml:space="preserve"> </w:t>
      </w:r>
      <w:proofErr w:type="gramStart"/>
      <w:r w:rsidR="00136A7B" w:rsidRPr="001B0D78">
        <w:rPr>
          <w:rFonts w:asciiTheme="minorHAnsi" w:hAnsiTheme="minorHAnsi" w:cstheme="minorHAnsi"/>
          <w:sz w:val="24"/>
          <w:szCs w:val="24"/>
        </w:rPr>
        <w:t>has been o</w:t>
      </w:r>
      <w:r w:rsidR="006645A5" w:rsidRPr="001B0D78">
        <w:rPr>
          <w:rFonts w:asciiTheme="minorHAnsi" w:hAnsiTheme="minorHAnsi" w:cstheme="minorHAnsi"/>
          <w:sz w:val="24"/>
          <w:szCs w:val="24"/>
        </w:rPr>
        <w:t>versubscribed</w:t>
      </w:r>
      <w:proofErr w:type="gramEnd"/>
      <w:r w:rsidR="006645A5" w:rsidRPr="001B0D78">
        <w:rPr>
          <w:rFonts w:asciiTheme="minorHAnsi" w:hAnsiTheme="minorHAnsi" w:cstheme="minorHAnsi"/>
          <w:sz w:val="24"/>
          <w:szCs w:val="24"/>
        </w:rPr>
        <w:t xml:space="preserve"> </w:t>
      </w:r>
      <w:r w:rsidRPr="001B0D78">
        <w:rPr>
          <w:rFonts w:asciiTheme="minorHAnsi" w:hAnsiTheme="minorHAnsi" w:cstheme="minorHAnsi"/>
          <w:sz w:val="24"/>
          <w:szCs w:val="24"/>
        </w:rPr>
        <w:t xml:space="preserve">and FCM is </w:t>
      </w:r>
      <w:r w:rsidR="00194317" w:rsidRPr="001B0D78">
        <w:rPr>
          <w:rFonts w:asciiTheme="minorHAnsi" w:hAnsiTheme="minorHAnsi" w:cstheme="minorHAnsi"/>
          <w:sz w:val="24"/>
          <w:szCs w:val="24"/>
        </w:rPr>
        <w:t xml:space="preserve">no longer funding feasibility studies, plans and capital projects. </w:t>
      </w:r>
      <w:r w:rsidRPr="001B0D78">
        <w:rPr>
          <w:rFonts w:asciiTheme="minorHAnsi" w:hAnsiTheme="minorHAnsi" w:cstheme="minorHAnsi"/>
          <w:sz w:val="24"/>
          <w:szCs w:val="24"/>
        </w:rPr>
        <w:t>As such, t</w:t>
      </w:r>
      <w:r w:rsidR="00194317" w:rsidRPr="001B0D78">
        <w:rPr>
          <w:rFonts w:asciiTheme="minorHAnsi" w:hAnsiTheme="minorHAnsi" w:cstheme="minorHAnsi"/>
          <w:sz w:val="24"/>
          <w:szCs w:val="24"/>
        </w:rPr>
        <w:t>here is a gap regardi</w:t>
      </w:r>
      <w:r w:rsidRPr="001B0D78">
        <w:rPr>
          <w:rFonts w:asciiTheme="minorHAnsi" w:hAnsiTheme="minorHAnsi" w:cstheme="minorHAnsi"/>
          <w:sz w:val="24"/>
          <w:szCs w:val="24"/>
        </w:rPr>
        <w:t xml:space="preserve">ng the matching funds that are </w:t>
      </w:r>
      <w:r w:rsidR="00194317" w:rsidRPr="001B0D78">
        <w:rPr>
          <w:rFonts w:asciiTheme="minorHAnsi" w:hAnsiTheme="minorHAnsi" w:cstheme="minorHAnsi"/>
          <w:sz w:val="24"/>
          <w:szCs w:val="24"/>
        </w:rPr>
        <w:t>available</w:t>
      </w:r>
      <w:r w:rsidRPr="001B0D78">
        <w:rPr>
          <w:rFonts w:asciiTheme="minorHAnsi" w:hAnsiTheme="minorHAnsi" w:cstheme="minorHAnsi"/>
          <w:sz w:val="24"/>
          <w:szCs w:val="24"/>
        </w:rPr>
        <w:t xml:space="preserve"> for Community Climate/Energy Action Plans.  FCM is </w:t>
      </w:r>
      <w:r w:rsidR="00194317" w:rsidRPr="001B0D78">
        <w:rPr>
          <w:rFonts w:asciiTheme="minorHAnsi" w:hAnsiTheme="minorHAnsi" w:cstheme="minorHAnsi"/>
          <w:sz w:val="24"/>
          <w:szCs w:val="24"/>
        </w:rPr>
        <w:t xml:space="preserve">reviewing </w:t>
      </w:r>
      <w:r w:rsidRPr="001B0D78">
        <w:rPr>
          <w:rFonts w:asciiTheme="minorHAnsi" w:hAnsiTheme="minorHAnsi" w:cstheme="minorHAnsi"/>
          <w:sz w:val="24"/>
          <w:szCs w:val="24"/>
        </w:rPr>
        <w:t>the Green Municipal Fund (GMF), more information may be available</w:t>
      </w:r>
      <w:r w:rsidR="00194317" w:rsidRPr="001B0D78">
        <w:rPr>
          <w:rFonts w:asciiTheme="minorHAnsi" w:hAnsiTheme="minorHAnsi" w:cstheme="minorHAnsi"/>
          <w:sz w:val="24"/>
          <w:szCs w:val="24"/>
        </w:rPr>
        <w:t xml:space="preserve"> around April/May regarding </w:t>
      </w:r>
      <w:r w:rsidRPr="001B0D78">
        <w:rPr>
          <w:rFonts w:asciiTheme="minorHAnsi" w:hAnsiTheme="minorHAnsi" w:cstheme="minorHAnsi"/>
          <w:sz w:val="24"/>
          <w:szCs w:val="24"/>
        </w:rPr>
        <w:t xml:space="preserve">whether Action Plan funding </w:t>
      </w:r>
      <w:proofErr w:type="gramStart"/>
      <w:r w:rsidRPr="001B0D78">
        <w:rPr>
          <w:rFonts w:asciiTheme="minorHAnsi" w:hAnsiTheme="minorHAnsi" w:cstheme="minorHAnsi"/>
          <w:sz w:val="24"/>
          <w:szCs w:val="24"/>
        </w:rPr>
        <w:t>may be moved</w:t>
      </w:r>
      <w:proofErr w:type="gramEnd"/>
      <w:r w:rsidRPr="001B0D78">
        <w:rPr>
          <w:rFonts w:asciiTheme="minorHAnsi" w:hAnsiTheme="minorHAnsi" w:cstheme="minorHAnsi"/>
          <w:sz w:val="24"/>
          <w:szCs w:val="24"/>
        </w:rPr>
        <w:t xml:space="preserve"> back into the GMF stream. </w:t>
      </w:r>
    </w:p>
    <w:p w:rsidR="001B0D78" w:rsidRPr="003B3932" w:rsidRDefault="00136A7B" w:rsidP="001B0D78">
      <w:pPr>
        <w:pStyle w:val="ListParagraph"/>
        <w:numPr>
          <w:ilvl w:val="0"/>
          <w:numId w:val="20"/>
        </w:numPr>
        <w:rPr>
          <w:rFonts w:asciiTheme="minorHAnsi" w:hAnsiTheme="minorHAnsi" w:cstheme="minorHAnsi"/>
          <w:sz w:val="24"/>
          <w:szCs w:val="24"/>
        </w:rPr>
      </w:pPr>
      <w:r w:rsidRPr="003B3932">
        <w:rPr>
          <w:rFonts w:asciiTheme="minorHAnsi" w:hAnsiTheme="minorHAnsi" w:cstheme="minorHAnsi"/>
          <w:sz w:val="24"/>
          <w:szCs w:val="24"/>
        </w:rPr>
        <w:t xml:space="preserve">The Ontario Trillium Foundation </w:t>
      </w:r>
      <w:r w:rsidR="003B3932">
        <w:rPr>
          <w:rFonts w:asciiTheme="minorHAnsi" w:hAnsiTheme="minorHAnsi" w:cstheme="minorHAnsi"/>
          <w:sz w:val="24"/>
          <w:szCs w:val="24"/>
        </w:rPr>
        <w:t xml:space="preserve">has provided funding to Sustainable Severn Sound to undertake a regional Climate Action Plan for municipalities in that region. </w:t>
      </w:r>
    </w:p>
    <w:p w:rsidR="00D93FC1" w:rsidRPr="005576BB" w:rsidRDefault="00F954E3" w:rsidP="005576BB">
      <w:pPr>
        <w:pStyle w:val="Heading3"/>
        <w:jc w:val="left"/>
        <w:rPr>
          <w:rStyle w:val="Strong"/>
          <w:rFonts w:asciiTheme="minorHAnsi" w:hAnsiTheme="minorHAnsi" w:cstheme="minorHAnsi"/>
          <w:i w:val="0"/>
          <w:sz w:val="24"/>
          <w:szCs w:val="24"/>
        </w:rPr>
      </w:pPr>
      <w:bookmarkStart w:id="16" w:name="_Toc505250361"/>
      <w:r w:rsidRPr="005576BB">
        <w:rPr>
          <w:rStyle w:val="Strong"/>
          <w:rFonts w:asciiTheme="minorHAnsi" w:hAnsiTheme="minorHAnsi" w:cstheme="minorHAnsi"/>
          <w:i w:val="0"/>
          <w:sz w:val="24"/>
          <w:szCs w:val="24"/>
        </w:rPr>
        <w:t>Questions:</w:t>
      </w:r>
      <w:bookmarkEnd w:id="16"/>
      <w:r w:rsidRPr="005576BB">
        <w:rPr>
          <w:rStyle w:val="Strong"/>
          <w:rFonts w:asciiTheme="minorHAnsi" w:hAnsiTheme="minorHAnsi" w:cstheme="minorHAnsi"/>
          <w:i w:val="0"/>
          <w:sz w:val="24"/>
          <w:szCs w:val="24"/>
        </w:rPr>
        <w:t xml:space="preserve"> </w:t>
      </w:r>
    </w:p>
    <w:p w:rsidR="00F954E3" w:rsidRPr="005576BB" w:rsidRDefault="00F954E3" w:rsidP="005576BB">
      <w:pPr>
        <w:rPr>
          <w:rStyle w:val="Strong"/>
          <w:rFonts w:asciiTheme="minorHAnsi" w:hAnsiTheme="minorHAnsi" w:cstheme="minorHAnsi"/>
          <w:sz w:val="24"/>
          <w:szCs w:val="24"/>
        </w:rPr>
      </w:pPr>
      <w:r w:rsidRPr="005576BB">
        <w:rPr>
          <w:rStyle w:val="Strong"/>
          <w:rFonts w:asciiTheme="minorHAnsi" w:hAnsiTheme="minorHAnsi" w:cstheme="minorHAnsi"/>
          <w:sz w:val="24"/>
          <w:szCs w:val="24"/>
        </w:rPr>
        <w:t>What would it take for the CDM plans to require an inventory of fleet vehicle emissions?</w:t>
      </w:r>
    </w:p>
    <w:p w:rsidR="003B3932" w:rsidRDefault="00F954E3" w:rsidP="003B3932">
      <w:pPr>
        <w:rPr>
          <w:rFonts w:asciiTheme="minorHAnsi" w:hAnsiTheme="minorHAnsi" w:cstheme="minorHAnsi"/>
          <w:sz w:val="24"/>
          <w:szCs w:val="24"/>
        </w:rPr>
      </w:pPr>
      <w:r w:rsidRPr="005576BB">
        <w:rPr>
          <w:rFonts w:asciiTheme="minorHAnsi" w:hAnsiTheme="minorHAnsi" w:cstheme="minorHAnsi"/>
          <w:sz w:val="24"/>
          <w:szCs w:val="24"/>
        </w:rPr>
        <w:lastRenderedPageBreak/>
        <w:t>There is a</w:t>
      </w:r>
      <w:r w:rsidR="006645A5" w:rsidRPr="005576BB">
        <w:rPr>
          <w:rFonts w:asciiTheme="minorHAnsi" w:hAnsiTheme="minorHAnsi" w:cstheme="minorHAnsi"/>
          <w:sz w:val="24"/>
          <w:szCs w:val="24"/>
        </w:rPr>
        <w:t xml:space="preserve"> set of</w:t>
      </w:r>
      <w:r w:rsidRPr="005576BB">
        <w:rPr>
          <w:rFonts w:asciiTheme="minorHAnsi" w:hAnsiTheme="minorHAnsi" w:cstheme="minorHAnsi"/>
          <w:sz w:val="24"/>
          <w:szCs w:val="24"/>
        </w:rPr>
        <w:t xml:space="preserve"> requirement</w:t>
      </w:r>
      <w:r w:rsidR="006645A5" w:rsidRPr="005576BB">
        <w:rPr>
          <w:rFonts w:asciiTheme="minorHAnsi" w:hAnsiTheme="minorHAnsi" w:cstheme="minorHAnsi"/>
          <w:sz w:val="24"/>
          <w:szCs w:val="24"/>
        </w:rPr>
        <w:t>s</w:t>
      </w:r>
      <w:r w:rsidRPr="005576BB">
        <w:rPr>
          <w:rFonts w:asciiTheme="minorHAnsi" w:hAnsiTheme="minorHAnsi" w:cstheme="minorHAnsi"/>
          <w:sz w:val="24"/>
          <w:szCs w:val="24"/>
        </w:rPr>
        <w:t xml:space="preserve"> the MOE established for all municipalities to </w:t>
      </w:r>
      <w:r w:rsidR="003B7828" w:rsidRPr="005576BB">
        <w:rPr>
          <w:rFonts w:asciiTheme="minorHAnsi" w:hAnsiTheme="minorHAnsi" w:cstheme="minorHAnsi"/>
          <w:sz w:val="24"/>
          <w:szCs w:val="24"/>
        </w:rPr>
        <w:t xml:space="preserve">follow, but by all </w:t>
      </w:r>
      <w:r w:rsidR="003B7828" w:rsidRPr="005576BB">
        <w:rPr>
          <w:rFonts w:asciiTheme="minorHAnsi" w:hAnsiTheme="minorHAnsi" w:cstheme="minorHAnsi"/>
          <w:noProof/>
          <w:sz w:val="24"/>
          <w:szCs w:val="24"/>
        </w:rPr>
        <w:t>means</w:t>
      </w:r>
      <w:r w:rsidR="00C310A9" w:rsidRPr="005576BB">
        <w:rPr>
          <w:rFonts w:asciiTheme="minorHAnsi" w:hAnsiTheme="minorHAnsi" w:cstheme="minorHAnsi"/>
          <w:noProof/>
          <w:sz w:val="24"/>
          <w:szCs w:val="24"/>
        </w:rPr>
        <w:t>,</w:t>
      </w:r>
      <w:r w:rsidR="003B7828" w:rsidRPr="005576BB">
        <w:rPr>
          <w:rFonts w:asciiTheme="minorHAnsi" w:hAnsiTheme="minorHAnsi" w:cstheme="minorHAnsi"/>
          <w:sz w:val="24"/>
          <w:szCs w:val="24"/>
        </w:rPr>
        <w:t xml:space="preserve"> this should not stop municipalities to consider undertaking other requirements</w:t>
      </w:r>
      <w:r w:rsidR="006645A5" w:rsidRPr="005576BB">
        <w:rPr>
          <w:rFonts w:asciiTheme="minorHAnsi" w:hAnsiTheme="minorHAnsi" w:cstheme="minorHAnsi"/>
          <w:sz w:val="24"/>
          <w:szCs w:val="24"/>
        </w:rPr>
        <w:t xml:space="preserve"> </w:t>
      </w:r>
      <w:r w:rsidR="00C310A9" w:rsidRPr="005576BB">
        <w:rPr>
          <w:rFonts w:asciiTheme="minorHAnsi" w:hAnsiTheme="minorHAnsi" w:cstheme="minorHAnsi"/>
          <w:noProof/>
          <w:sz w:val="24"/>
          <w:szCs w:val="24"/>
        </w:rPr>
        <w:t>not</w:t>
      </w:r>
      <w:r w:rsidR="006645A5" w:rsidRPr="005576BB">
        <w:rPr>
          <w:rFonts w:asciiTheme="minorHAnsi" w:hAnsiTheme="minorHAnsi" w:cstheme="minorHAnsi"/>
          <w:sz w:val="24"/>
          <w:szCs w:val="24"/>
        </w:rPr>
        <w:t xml:space="preserve"> mentioned</w:t>
      </w:r>
      <w:r w:rsidR="003B7828" w:rsidRPr="005576BB">
        <w:rPr>
          <w:rFonts w:asciiTheme="minorHAnsi" w:hAnsiTheme="minorHAnsi" w:cstheme="minorHAnsi"/>
          <w:sz w:val="24"/>
          <w:szCs w:val="24"/>
        </w:rPr>
        <w:t>. To change the CDM requirements means that the Ministry would have to open the regulation</w:t>
      </w:r>
      <w:r w:rsidR="006645A5" w:rsidRPr="005576BB">
        <w:rPr>
          <w:rFonts w:asciiTheme="minorHAnsi" w:hAnsiTheme="minorHAnsi" w:cstheme="minorHAnsi"/>
          <w:sz w:val="24"/>
          <w:szCs w:val="24"/>
        </w:rPr>
        <w:t>—</w:t>
      </w:r>
      <w:r w:rsidR="003B7828" w:rsidRPr="005576BB">
        <w:rPr>
          <w:rFonts w:asciiTheme="minorHAnsi" w:hAnsiTheme="minorHAnsi" w:cstheme="minorHAnsi"/>
          <w:sz w:val="24"/>
          <w:szCs w:val="24"/>
        </w:rPr>
        <w:t xml:space="preserve">this would not be advisable before a provincial election this June. </w:t>
      </w:r>
    </w:p>
    <w:p w:rsidR="003B7828" w:rsidRPr="003B3932" w:rsidRDefault="006645A5" w:rsidP="003B3932">
      <w:pPr>
        <w:rPr>
          <w:rFonts w:asciiTheme="minorHAnsi" w:hAnsiTheme="minorHAnsi" w:cstheme="minorHAnsi"/>
          <w:sz w:val="24"/>
          <w:szCs w:val="24"/>
        </w:rPr>
      </w:pPr>
      <w:r w:rsidRPr="003B3932">
        <w:rPr>
          <w:rFonts w:asciiTheme="minorHAnsi" w:hAnsiTheme="minorHAnsi" w:cstheme="minorHAnsi"/>
          <w:sz w:val="24"/>
          <w:szCs w:val="24"/>
        </w:rPr>
        <w:t>The IESO is developing a Municipal Energy P</w:t>
      </w:r>
      <w:r w:rsidR="003B3932">
        <w:rPr>
          <w:rFonts w:asciiTheme="minorHAnsi" w:hAnsiTheme="minorHAnsi" w:cstheme="minorHAnsi"/>
          <w:sz w:val="24"/>
          <w:szCs w:val="24"/>
        </w:rPr>
        <w:t>rofile to update the one done in 2008</w:t>
      </w:r>
      <w:r w:rsidR="003B7828" w:rsidRPr="003B3932">
        <w:rPr>
          <w:rFonts w:asciiTheme="minorHAnsi" w:hAnsiTheme="minorHAnsi" w:cstheme="minorHAnsi"/>
          <w:sz w:val="24"/>
          <w:szCs w:val="24"/>
        </w:rPr>
        <w:t>. The repor</w:t>
      </w:r>
      <w:r w:rsidR="003B3932">
        <w:rPr>
          <w:rFonts w:asciiTheme="minorHAnsi" w:hAnsiTheme="minorHAnsi" w:cstheme="minorHAnsi"/>
          <w:sz w:val="24"/>
          <w:szCs w:val="24"/>
        </w:rPr>
        <w:t xml:space="preserve">t will be coming out this spring. </w:t>
      </w:r>
    </w:p>
    <w:p w:rsidR="004A006C" w:rsidRPr="005576BB" w:rsidRDefault="004A006C" w:rsidP="005576BB">
      <w:pPr>
        <w:rPr>
          <w:rFonts w:asciiTheme="minorHAnsi" w:hAnsiTheme="minorHAnsi" w:cstheme="minorHAnsi"/>
          <w:b/>
          <w:sz w:val="24"/>
          <w:szCs w:val="24"/>
        </w:rPr>
      </w:pPr>
      <w:r w:rsidRPr="005576BB">
        <w:rPr>
          <w:rFonts w:asciiTheme="minorHAnsi" w:hAnsiTheme="minorHAnsi" w:cstheme="minorHAnsi"/>
          <w:b/>
          <w:sz w:val="24"/>
          <w:szCs w:val="24"/>
        </w:rPr>
        <w:t xml:space="preserve">The MOE </w:t>
      </w:r>
      <w:r w:rsidR="003B3932">
        <w:rPr>
          <w:rFonts w:asciiTheme="minorHAnsi" w:hAnsiTheme="minorHAnsi" w:cstheme="minorHAnsi"/>
          <w:b/>
          <w:sz w:val="24"/>
          <w:szCs w:val="24"/>
        </w:rPr>
        <w:t>is reviewing the MEP</w:t>
      </w:r>
      <w:r w:rsidRPr="005576BB">
        <w:rPr>
          <w:rFonts w:asciiTheme="minorHAnsi" w:hAnsiTheme="minorHAnsi" w:cstheme="minorHAnsi"/>
          <w:b/>
          <w:sz w:val="24"/>
          <w:szCs w:val="24"/>
        </w:rPr>
        <w:t xml:space="preserve"> funding program </w:t>
      </w:r>
      <w:r w:rsidR="003B3932">
        <w:rPr>
          <w:rFonts w:asciiTheme="minorHAnsi" w:hAnsiTheme="minorHAnsi" w:cstheme="minorHAnsi"/>
          <w:b/>
          <w:sz w:val="24"/>
          <w:szCs w:val="24"/>
        </w:rPr>
        <w:t xml:space="preserve">and seeking feedback re: possible improvements. </w:t>
      </w:r>
    </w:p>
    <w:p w:rsidR="00506611" w:rsidRPr="003B3932" w:rsidRDefault="00506611" w:rsidP="003B3932">
      <w:pPr>
        <w:pStyle w:val="ListParagraph"/>
        <w:numPr>
          <w:ilvl w:val="0"/>
          <w:numId w:val="21"/>
        </w:numPr>
        <w:ind w:left="720"/>
        <w:rPr>
          <w:rFonts w:asciiTheme="minorHAnsi" w:hAnsiTheme="minorHAnsi" w:cstheme="minorHAnsi"/>
          <w:sz w:val="24"/>
          <w:szCs w:val="24"/>
        </w:rPr>
      </w:pPr>
      <w:r w:rsidRPr="003B3932">
        <w:rPr>
          <w:rFonts w:asciiTheme="minorHAnsi" w:hAnsiTheme="minorHAnsi" w:cstheme="minorHAnsi"/>
          <w:sz w:val="24"/>
          <w:szCs w:val="24"/>
        </w:rPr>
        <w:t xml:space="preserve">The Province is encouraged </w:t>
      </w:r>
      <w:proofErr w:type="gramStart"/>
      <w:r w:rsidRPr="003B3932">
        <w:rPr>
          <w:rFonts w:asciiTheme="minorHAnsi" w:hAnsiTheme="minorHAnsi" w:cstheme="minorHAnsi"/>
          <w:sz w:val="24"/>
          <w:szCs w:val="24"/>
        </w:rPr>
        <w:t>to further streamline</w:t>
      </w:r>
      <w:proofErr w:type="gramEnd"/>
      <w:r w:rsidRPr="003B3932">
        <w:rPr>
          <w:rFonts w:asciiTheme="minorHAnsi" w:hAnsiTheme="minorHAnsi" w:cstheme="minorHAnsi"/>
          <w:sz w:val="24"/>
          <w:szCs w:val="24"/>
        </w:rPr>
        <w:t xml:space="preserve"> data gathering </w:t>
      </w:r>
      <w:r w:rsidR="003B3932">
        <w:rPr>
          <w:rFonts w:asciiTheme="minorHAnsi" w:hAnsiTheme="minorHAnsi" w:cstheme="minorHAnsi"/>
          <w:sz w:val="24"/>
          <w:szCs w:val="24"/>
        </w:rPr>
        <w:t xml:space="preserve">especially for the </w:t>
      </w:r>
      <w:r w:rsidRPr="003B3932">
        <w:rPr>
          <w:rFonts w:asciiTheme="minorHAnsi" w:hAnsiTheme="minorHAnsi" w:cstheme="minorHAnsi"/>
          <w:sz w:val="24"/>
          <w:szCs w:val="24"/>
        </w:rPr>
        <w:t xml:space="preserve">transportation sector. </w:t>
      </w:r>
    </w:p>
    <w:p w:rsidR="003B3932" w:rsidRDefault="00506611" w:rsidP="003B3932">
      <w:pPr>
        <w:pStyle w:val="ListParagraph"/>
        <w:numPr>
          <w:ilvl w:val="0"/>
          <w:numId w:val="21"/>
        </w:numPr>
        <w:ind w:left="720"/>
        <w:rPr>
          <w:rFonts w:asciiTheme="minorHAnsi" w:hAnsiTheme="minorHAnsi" w:cstheme="minorHAnsi"/>
          <w:sz w:val="24"/>
          <w:szCs w:val="24"/>
        </w:rPr>
      </w:pPr>
      <w:r w:rsidRPr="003B3932">
        <w:rPr>
          <w:rFonts w:asciiTheme="minorHAnsi" w:hAnsiTheme="minorHAnsi" w:cstheme="minorHAnsi"/>
          <w:sz w:val="24"/>
          <w:szCs w:val="24"/>
        </w:rPr>
        <w:t>The two main issues that municipalities face during the implementation phase is community/stakeholder engagement and</w:t>
      </w:r>
      <w:r w:rsidR="00046B75">
        <w:rPr>
          <w:rFonts w:asciiTheme="minorHAnsi" w:hAnsiTheme="minorHAnsi" w:cstheme="minorHAnsi"/>
          <w:sz w:val="24"/>
          <w:szCs w:val="24"/>
        </w:rPr>
        <w:t xml:space="preserve"> funding/partnership </w:t>
      </w:r>
      <w:r w:rsidR="003B3932">
        <w:rPr>
          <w:rFonts w:asciiTheme="minorHAnsi" w:hAnsiTheme="minorHAnsi" w:cstheme="minorHAnsi"/>
          <w:sz w:val="24"/>
          <w:szCs w:val="24"/>
        </w:rPr>
        <w:t xml:space="preserve">models </w:t>
      </w:r>
      <w:r w:rsidR="00046B75">
        <w:rPr>
          <w:rFonts w:asciiTheme="minorHAnsi" w:hAnsiTheme="minorHAnsi" w:cstheme="minorHAnsi"/>
          <w:sz w:val="24"/>
          <w:szCs w:val="24"/>
        </w:rPr>
        <w:t xml:space="preserve">that </w:t>
      </w:r>
      <w:proofErr w:type="gramStart"/>
      <w:r w:rsidR="00046B75">
        <w:rPr>
          <w:rFonts w:asciiTheme="minorHAnsi" w:hAnsiTheme="minorHAnsi" w:cstheme="minorHAnsi"/>
          <w:sz w:val="24"/>
          <w:szCs w:val="24"/>
        </w:rPr>
        <w:t>are needed</w:t>
      </w:r>
      <w:proofErr w:type="gramEnd"/>
      <w:r w:rsidR="00046B75">
        <w:rPr>
          <w:rFonts w:asciiTheme="minorHAnsi" w:hAnsiTheme="minorHAnsi" w:cstheme="minorHAnsi"/>
          <w:sz w:val="24"/>
          <w:szCs w:val="24"/>
        </w:rPr>
        <w:t xml:space="preserve"> for implementation of actions. </w:t>
      </w:r>
    </w:p>
    <w:p w:rsidR="003B3932" w:rsidRDefault="00506611" w:rsidP="003B3932">
      <w:pPr>
        <w:pStyle w:val="ListParagraph"/>
        <w:numPr>
          <w:ilvl w:val="0"/>
          <w:numId w:val="21"/>
        </w:numPr>
        <w:ind w:left="720"/>
        <w:rPr>
          <w:rFonts w:asciiTheme="minorHAnsi" w:hAnsiTheme="minorHAnsi" w:cstheme="minorHAnsi"/>
          <w:sz w:val="24"/>
          <w:szCs w:val="24"/>
        </w:rPr>
      </w:pPr>
      <w:r w:rsidRPr="003B3932">
        <w:rPr>
          <w:rFonts w:asciiTheme="minorHAnsi" w:hAnsiTheme="minorHAnsi" w:cstheme="minorHAnsi"/>
          <w:noProof/>
          <w:sz w:val="24"/>
          <w:szCs w:val="24"/>
        </w:rPr>
        <w:t>QUEST</w:t>
      </w:r>
      <w:r w:rsidRPr="003B3932">
        <w:rPr>
          <w:rFonts w:asciiTheme="minorHAnsi" w:hAnsiTheme="minorHAnsi" w:cstheme="minorHAnsi"/>
          <w:sz w:val="24"/>
          <w:szCs w:val="24"/>
        </w:rPr>
        <w:t xml:space="preserve"> </w:t>
      </w:r>
      <w:r w:rsidR="00046B75">
        <w:rPr>
          <w:rFonts w:asciiTheme="minorHAnsi" w:hAnsiTheme="minorHAnsi" w:cstheme="minorHAnsi"/>
          <w:sz w:val="24"/>
          <w:szCs w:val="24"/>
        </w:rPr>
        <w:t>and CAP are working on a Planning Alignment project that will develop a Primer for how to advance alignment between Municipal Action/Energy Plans</w:t>
      </w:r>
      <w:proofErr w:type="gramStart"/>
      <w:r w:rsidR="00046B75">
        <w:rPr>
          <w:rFonts w:asciiTheme="minorHAnsi" w:hAnsiTheme="minorHAnsi" w:cstheme="minorHAnsi"/>
          <w:sz w:val="24"/>
          <w:szCs w:val="24"/>
        </w:rPr>
        <w:t>;</w:t>
      </w:r>
      <w:proofErr w:type="gramEnd"/>
      <w:r w:rsidR="00046B75">
        <w:rPr>
          <w:rFonts w:asciiTheme="minorHAnsi" w:hAnsiTheme="minorHAnsi" w:cstheme="minorHAnsi"/>
          <w:sz w:val="24"/>
          <w:szCs w:val="24"/>
        </w:rPr>
        <w:t xml:space="preserve"> Utility CDM and DSM Plans and the Regional Electricity Plans from the IESO as well as the LTEP. </w:t>
      </w:r>
    </w:p>
    <w:p w:rsidR="00506611" w:rsidRPr="003B3932" w:rsidRDefault="00046B75" w:rsidP="003B3932">
      <w:pPr>
        <w:pStyle w:val="ListParagraph"/>
        <w:numPr>
          <w:ilvl w:val="0"/>
          <w:numId w:val="21"/>
        </w:numPr>
        <w:ind w:left="720"/>
        <w:rPr>
          <w:rFonts w:asciiTheme="minorHAnsi" w:hAnsiTheme="minorHAnsi" w:cstheme="minorHAnsi"/>
          <w:sz w:val="24"/>
          <w:szCs w:val="24"/>
        </w:rPr>
      </w:pPr>
      <w:r>
        <w:rPr>
          <w:rFonts w:asciiTheme="minorHAnsi" w:hAnsiTheme="minorHAnsi" w:cstheme="minorHAnsi"/>
          <w:sz w:val="24"/>
          <w:szCs w:val="24"/>
        </w:rPr>
        <w:t xml:space="preserve">Green ON </w:t>
      </w:r>
      <w:r w:rsidR="00506611" w:rsidRPr="003B3932">
        <w:rPr>
          <w:rFonts w:asciiTheme="minorHAnsi" w:hAnsiTheme="minorHAnsi" w:cstheme="minorHAnsi"/>
          <w:sz w:val="24"/>
          <w:szCs w:val="24"/>
        </w:rPr>
        <w:t xml:space="preserve">is able to provide municipalities interested in promoting </w:t>
      </w:r>
      <w:r w:rsidR="00506611" w:rsidRPr="003B3932">
        <w:rPr>
          <w:rFonts w:asciiTheme="minorHAnsi" w:hAnsiTheme="minorHAnsi" w:cstheme="minorHAnsi"/>
          <w:noProof/>
          <w:sz w:val="24"/>
          <w:szCs w:val="24"/>
        </w:rPr>
        <w:t>GreenON</w:t>
      </w:r>
      <w:r w:rsidR="00506611" w:rsidRPr="003B3932">
        <w:rPr>
          <w:rFonts w:asciiTheme="minorHAnsi" w:hAnsiTheme="minorHAnsi" w:cstheme="minorHAnsi"/>
          <w:sz w:val="24"/>
          <w:szCs w:val="24"/>
        </w:rPr>
        <w:t xml:space="preserve"> pamphlets and social media material. If interested, please let Gaby know </w:t>
      </w:r>
      <w:proofErr w:type="gramStart"/>
      <w:r w:rsidR="00506611" w:rsidRPr="003B3932">
        <w:rPr>
          <w:rFonts w:asciiTheme="minorHAnsi" w:hAnsiTheme="minorHAnsi" w:cstheme="minorHAnsi"/>
          <w:sz w:val="24"/>
          <w:szCs w:val="24"/>
        </w:rPr>
        <w:t xml:space="preserve">your interest and how </w:t>
      </w:r>
      <w:r>
        <w:rPr>
          <w:rFonts w:asciiTheme="minorHAnsi" w:hAnsiTheme="minorHAnsi" w:cstheme="minorHAnsi"/>
          <w:sz w:val="24"/>
          <w:szCs w:val="24"/>
        </w:rPr>
        <w:t>much you would like to receive</w:t>
      </w:r>
      <w:proofErr w:type="gramEnd"/>
      <w:r>
        <w:rPr>
          <w:rFonts w:asciiTheme="minorHAnsi" w:hAnsiTheme="minorHAnsi" w:cstheme="minorHAnsi"/>
          <w:sz w:val="24"/>
          <w:szCs w:val="24"/>
        </w:rPr>
        <w:t xml:space="preserve">, there is an online order form. </w:t>
      </w:r>
    </w:p>
    <w:p w:rsidR="00893801" w:rsidRPr="005576BB" w:rsidRDefault="00046B75" w:rsidP="005576BB">
      <w:pPr>
        <w:rPr>
          <w:rFonts w:asciiTheme="minorHAnsi" w:hAnsiTheme="minorHAnsi" w:cstheme="minorHAnsi"/>
          <w:sz w:val="24"/>
          <w:szCs w:val="24"/>
        </w:rPr>
      </w:pPr>
      <w:r>
        <w:rPr>
          <w:rFonts w:asciiTheme="minorHAnsi" w:hAnsiTheme="minorHAnsi" w:cstheme="minorHAnsi"/>
          <w:sz w:val="24"/>
          <w:szCs w:val="24"/>
        </w:rPr>
        <w:t>CAP has been</w:t>
      </w:r>
      <w:r w:rsidR="00893801" w:rsidRPr="005576BB">
        <w:rPr>
          <w:rFonts w:asciiTheme="minorHAnsi" w:hAnsiTheme="minorHAnsi" w:cstheme="minorHAnsi"/>
          <w:sz w:val="24"/>
          <w:szCs w:val="24"/>
        </w:rPr>
        <w:t xml:space="preserve"> working alongside QUE</w:t>
      </w:r>
      <w:r>
        <w:rPr>
          <w:rFonts w:asciiTheme="minorHAnsi" w:hAnsiTheme="minorHAnsi" w:cstheme="minorHAnsi"/>
          <w:sz w:val="24"/>
          <w:szCs w:val="24"/>
        </w:rPr>
        <w:t>ST and TAF to request the MOE</w:t>
      </w:r>
      <w:r w:rsidR="00893801" w:rsidRPr="005576BB">
        <w:rPr>
          <w:rFonts w:asciiTheme="minorHAnsi" w:hAnsiTheme="minorHAnsi" w:cstheme="minorHAnsi"/>
          <w:sz w:val="24"/>
          <w:szCs w:val="24"/>
        </w:rPr>
        <w:t xml:space="preserve"> require </w:t>
      </w:r>
      <w:r>
        <w:rPr>
          <w:rFonts w:asciiTheme="minorHAnsi" w:hAnsiTheme="minorHAnsi" w:cstheme="minorHAnsi"/>
          <w:sz w:val="24"/>
          <w:szCs w:val="24"/>
        </w:rPr>
        <w:t xml:space="preserve">utilities to report their energy use at the municipal scale rather than at the utility scale. A letter </w:t>
      </w:r>
      <w:proofErr w:type="gramStart"/>
      <w:r>
        <w:rPr>
          <w:rFonts w:asciiTheme="minorHAnsi" w:hAnsiTheme="minorHAnsi" w:cstheme="minorHAnsi"/>
          <w:sz w:val="24"/>
          <w:szCs w:val="24"/>
        </w:rPr>
        <w:t>was sent</w:t>
      </w:r>
      <w:proofErr w:type="gramEnd"/>
      <w:r>
        <w:rPr>
          <w:rFonts w:asciiTheme="minorHAnsi" w:hAnsiTheme="minorHAnsi" w:cstheme="minorHAnsi"/>
          <w:sz w:val="24"/>
          <w:szCs w:val="24"/>
        </w:rPr>
        <w:t xml:space="preserve"> to the Minister of Energy and he sent a letter back saying this was under OEB jurisdiction not MOE. There are plans to send that request to the OEB but we are looking for the case for how this would benefit utilities as well as </w:t>
      </w:r>
      <w:r w:rsidR="00500428">
        <w:rPr>
          <w:rFonts w:asciiTheme="minorHAnsi" w:hAnsiTheme="minorHAnsi" w:cstheme="minorHAnsi"/>
          <w:sz w:val="24"/>
          <w:szCs w:val="24"/>
        </w:rPr>
        <w:t>municipalities</w:t>
      </w:r>
      <w:r>
        <w:rPr>
          <w:rFonts w:asciiTheme="minorHAnsi" w:hAnsiTheme="minorHAnsi" w:cstheme="minorHAnsi"/>
          <w:sz w:val="24"/>
          <w:szCs w:val="24"/>
        </w:rPr>
        <w:t xml:space="preserve"> because the OEB will likely say no to anything that could potentially have </w:t>
      </w:r>
      <w:r w:rsidR="00500428">
        <w:rPr>
          <w:rFonts w:asciiTheme="minorHAnsi" w:hAnsiTheme="minorHAnsi" w:cstheme="minorHAnsi"/>
          <w:sz w:val="24"/>
          <w:szCs w:val="24"/>
        </w:rPr>
        <w:t xml:space="preserve">any impact on the rate base. The case developed thus far is that </w:t>
      </w:r>
      <w:r w:rsidR="00893801" w:rsidRPr="005576BB">
        <w:rPr>
          <w:rFonts w:asciiTheme="minorHAnsi" w:hAnsiTheme="minorHAnsi" w:cstheme="minorHAnsi"/>
          <w:sz w:val="24"/>
          <w:szCs w:val="24"/>
        </w:rPr>
        <w:t xml:space="preserve">utilities would be able to save money </w:t>
      </w:r>
      <w:r w:rsidR="00500428">
        <w:rPr>
          <w:rFonts w:asciiTheme="minorHAnsi" w:hAnsiTheme="minorHAnsi" w:cstheme="minorHAnsi"/>
          <w:sz w:val="24"/>
          <w:szCs w:val="24"/>
        </w:rPr>
        <w:t>if they did provide this data by reducing</w:t>
      </w:r>
      <w:r w:rsidR="00893801" w:rsidRPr="005576BB">
        <w:rPr>
          <w:rFonts w:asciiTheme="minorHAnsi" w:hAnsiTheme="minorHAnsi" w:cstheme="minorHAnsi"/>
          <w:sz w:val="24"/>
          <w:szCs w:val="24"/>
        </w:rPr>
        <w:t xml:space="preserve"> data requests from municipalities. </w:t>
      </w:r>
      <w:r w:rsidR="00500428">
        <w:rPr>
          <w:rFonts w:asciiTheme="minorHAnsi" w:hAnsiTheme="minorHAnsi" w:cstheme="minorHAnsi"/>
          <w:sz w:val="24"/>
          <w:szCs w:val="24"/>
        </w:rPr>
        <w:t xml:space="preserve">Looking for any other business cases that people </w:t>
      </w:r>
      <w:proofErr w:type="gramStart"/>
      <w:r w:rsidR="00500428">
        <w:rPr>
          <w:rFonts w:asciiTheme="minorHAnsi" w:hAnsiTheme="minorHAnsi" w:cstheme="minorHAnsi"/>
          <w:sz w:val="24"/>
          <w:szCs w:val="24"/>
        </w:rPr>
        <w:t>may have for this ask</w:t>
      </w:r>
      <w:proofErr w:type="gramEnd"/>
      <w:r w:rsidR="00500428">
        <w:rPr>
          <w:rFonts w:asciiTheme="minorHAnsi" w:hAnsiTheme="minorHAnsi" w:cstheme="minorHAnsi"/>
          <w:sz w:val="24"/>
          <w:szCs w:val="24"/>
        </w:rPr>
        <w:t xml:space="preserve">. </w:t>
      </w:r>
      <w:bookmarkStart w:id="17" w:name="_GoBack"/>
      <w:bookmarkEnd w:id="17"/>
    </w:p>
    <w:p w:rsidR="00893801" w:rsidRPr="005576BB" w:rsidRDefault="00893801" w:rsidP="005576BB">
      <w:pPr>
        <w:rPr>
          <w:rFonts w:asciiTheme="minorHAnsi" w:hAnsiTheme="minorHAnsi" w:cstheme="minorHAnsi"/>
          <w:sz w:val="24"/>
          <w:szCs w:val="24"/>
        </w:rPr>
      </w:pPr>
    </w:p>
    <w:sectPr w:rsidR="00893801" w:rsidRPr="005576BB" w:rsidSect="00414E96">
      <w:headerReference w:type="default" r:id="rId12"/>
      <w:footerReference w:type="default" r:id="rId13"/>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9A" w:rsidRDefault="00E33C9A" w:rsidP="009A580D">
      <w:pPr>
        <w:spacing w:after="0" w:line="240" w:lineRule="auto"/>
      </w:pPr>
      <w:r>
        <w:separator/>
      </w:r>
    </w:p>
  </w:endnote>
  <w:endnote w:type="continuationSeparator" w:id="0">
    <w:p w:rsidR="00E33C9A" w:rsidRDefault="00E33C9A"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C1" w:rsidRDefault="00D93FC1">
    <w:pPr>
      <w:pStyle w:val="Footer"/>
      <w:jc w:val="right"/>
    </w:pPr>
    <w:r>
      <w:fldChar w:fldCharType="begin"/>
    </w:r>
    <w:r>
      <w:instrText xml:space="preserve"> PAGE   \* MERGEFORMAT </w:instrText>
    </w:r>
    <w:r>
      <w:fldChar w:fldCharType="separate"/>
    </w:r>
    <w:r w:rsidR="00500428">
      <w:rPr>
        <w:noProof/>
      </w:rPr>
      <w:t>7</w:t>
    </w:r>
    <w:r>
      <w:rPr>
        <w:noProof/>
      </w:rPr>
      <w:fldChar w:fldCharType="end"/>
    </w:r>
  </w:p>
  <w:p w:rsidR="00D93FC1" w:rsidRDefault="00D9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9A" w:rsidRDefault="00E33C9A" w:rsidP="009A580D">
      <w:pPr>
        <w:spacing w:after="0" w:line="240" w:lineRule="auto"/>
      </w:pPr>
      <w:r>
        <w:separator/>
      </w:r>
    </w:p>
  </w:footnote>
  <w:footnote w:type="continuationSeparator" w:id="0">
    <w:p w:rsidR="00E33C9A" w:rsidRDefault="00E33C9A"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C1" w:rsidRDefault="00D93FC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B7E"/>
    <w:multiLevelType w:val="hybridMultilevel"/>
    <w:tmpl w:val="AFA84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9578E"/>
    <w:multiLevelType w:val="hybridMultilevel"/>
    <w:tmpl w:val="4306D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CE0194"/>
    <w:multiLevelType w:val="hybridMultilevel"/>
    <w:tmpl w:val="7BBC74D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C7A4B"/>
    <w:multiLevelType w:val="hybridMultilevel"/>
    <w:tmpl w:val="B82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44045"/>
    <w:multiLevelType w:val="hybridMultilevel"/>
    <w:tmpl w:val="9A1A5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D75CC0"/>
    <w:multiLevelType w:val="hybridMultilevel"/>
    <w:tmpl w:val="FDEE5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2A7690A"/>
    <w:multiLevelType w:val="hybridMultilevel"/>
    <w:tmpl w:val="DA24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16218"/>
    <w:multiLevelType w:val="hybridMultilevel"/>
    <w:tmpl w:val="0DE428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1732461"/>
    <w:multiLevelType w:val="hybridMultilevel"/>
    <w:tmpl w:val="B9C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066FC"/>
    <w:multiLevelType w:val="hybridMultilevel"/>
    <w:tmpl w:val="3B9C26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5C2BF5"/>
    <w:multiLevelType w:val="hybridMultilevel"/>
    <w:tmpl w:val="6CF44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ED555B"/>
    <w:multiLevelType w:val="hybridMultilevel"/>
    <w:tmpl w:val="97809E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FC6F99"/>
    <w:multiLevelType w:val="hybridMultilevel"/>
    <w:tmpl w:val="C5DAC4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8A0D01"/>
    <w:multiLevelType w:val="hybridMultilevel"/>
    <w:tmpl w:val="29866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244CBA"/>
    <w:multiLevelType w:val="hybridMultilevel"/>
    <w:tmpl w:val="44C24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996E91"/>
    <w:multiLevelType w:val="hybridMultilevel"/>
    <w:tmpl w:val="FA682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BB1D9F"/>
    <w:multiLevelType w:val="hybridMultilevel"/>
    <w:tmpl w:val="61F67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9B71F9"/>
    <w:multiLevelType w:val="hybridMultilevel"/>
    <w:tmpl w:val="36B2D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FA32B7"/>
    <w:multiLevelType w:val="hybridMultilevel"/>
    <w:tmpl w:val="AEA6A02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B32F3A"/>
    <w:multiLevelType w:val="hybridMultilevel"/>
    <w:tmpl w:val="FA0EA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110BFA"/>
    <w:multiLevelType w:val="hybridMultilevel"/>
    <w:tmpl w:val="BCFA7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4"/>
  </w:num>
  <w:num w:numId="5">
    <w:abstractNumId w:val="7"/>
  </w:num>
  <w:num w:numId="6">
    <w:abstractNumId w:val="5"/>
  </w:num>
  <w:num w:numId="7">
    <w:abstractNumId w:val="13"/>
  </w:num>
  <w:num w:numId="8">
    <w:abstractNumId w:val="11"/>
  </w:num>
  <w:num w:numId="9">
    <w:abstractNumId w:val="1"/>
  </w:num>
  <w:num w:numId="10">
    <w:abstractNumId w:val="17"/>
  </w:num>
  <w:num w:numId="11">
    <w:abstractNumId w:val="19"/>
  </w:num>
  <w:num w:numId="12">
    <w:abstractNumId w:val="2"/>
  </w:num>
  <w:num w:numId="13">
    <w:abstractNumId w:val="4"/>
  </w:num>
  <w:num w:numId="14">
    <w:abstractNumId w:val="18"/>
  </w:num>
  <w:num w:numId="15">
    <w:abstractNumId w:val="16"/>
  </w:num>
  <w:num w:numId="16">
    <w:abstractNumId w:val="9"/>
  </w:num>
  <w:num w:numId="17">
    <w:abstractNumId w:val="15"/>
  </w:num>
  <w:num w:numId="18">
    <w:abstractNumId w:val="6"/>
  </w:num>
  <w:num w:numId="19">
    <w:abstractNumId w:val="8"/>
  </w:num>
  <w:num w:numId="20">
    <w:abstractNumId w:val="3"/>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YZmtQCXNHOlLQAAAA=="/>
  </w:docVars>
  <w:rsids>
    <w:rsidRoot w:val="0021171A"/>
    <w:rsid w:val="000060FD"/>
    <w:rsid w:val="000115D9"/>
    <w:rsid w:val="0001571B"/>
    <w:rsid w:val="000276EA"/>
    <w:rsid w:val="00046B75"/>
    <w:rsid w:val="00057776"/>
    <w:rsid w:val="000665B1"/>
    <w:rsid w:val="00094373"/>
    <w:rsid w:val="000955A4"/>
    <w:rsid w:val="000A35B6"/>
    <w:rsid w:val="000B291B"/>
    <w:rsid w:val="000D0CE3"/>
    <w:rsid w:val="000D1DBE"/>
    <w:rsid w:val="000F05DF"/>
    <w:rsid w:val="000F1EDE"/>
    <w:rsid w:val="00104C17"/>
    <w:rsid w:val="00112F9A"/>
    <w:rsid w:val="00136A7B"/>
    <w:rsid w:val="001501B1"/>
    <w:rsid w:val="00151B94"/>
    <w:rsid w:val="00157A24"/>
    <w:rsid w:val="0017105D"/>
    <w:rsid w:val="00184D19"/>
    <w:rsid w:val="00194317"/>
    <w:rsid w:val="001A0D74"/>
    <w:rsid w:val="001A2E7D"/>
    <w:rsid w:val="001A4EA6"/>
    <w:rsid w:val="001B0D78"/>
    <w:rsid w:val="001C0DD9"/>
    <w:rsid w:val="001C2DAB"/>
    <w:rsid w:val="00206D55"/>
    <w:rsid w:val="0021171A"/>
    <w:rsid w:val="00232094"/>
    <w:rsid w:val="00251EDF"/>
    <w:rsid w:val="002655E1"/>
    <w:rsid w:val="0027090D"/>
    <w:rsid w:val="002839AC"/>
    <w:rsid w:val="002953D9"/>
    <w:rsid w:val="002A4BEC"/>
    <w:rsid w:val="002A566D"/>
    <w:rsid w:val="002B7B0B"/>
    <w:rsid w:val="00336ED7"/>
    <w:rsid w:val="0035054F"/>
    <w:rsid w:val="003512EA"/>
    <w:rsid w:val="003915D2"/>
    <w:rsid w:val="003A4FC4"/>
    <w:rsid w:val="003B2D83"/>
    <w:rsid w:val="003B3570"/>
    <w:rsid w:val="003B3932"/>
    <w:rsid w:val="003B7828"/>
    <w:rsid w:val="003B7A91"/>
    <w:rsid w:val="003E288C"/>
    <w:rsid w:val="003F0F0F"/>
    <w:rsid w:val="003F462B"/>
    <w:rsid w:val="003F682B"/>
    <w:rsid w:val="00404C03"/>
    <w:rsid w:val="004118ED"/>
    <w:rsid w:val="004123F1"/>
    <w:rsid w:val="00414E96"/>
    <w:rsid w:val="004158B2"/>
    <w:rsid w:val="00416A78"/>
    <w:rsid w:val="0042030F"/>
    <w:rsid w:val="00442118"/>
    <w:rsid w:val="00445239"/>
    <w:rsid w:val="0044585E"/>
    <w:rsid w:val="004531A5"/>
    <w:rsid w:val="00457530"/>
    <w:rsid w:val="004629D3"/>
    <w:rsid w:val="00473FE6"/>
    <w:rsid w:val="004832C9"/>
    <w:rsid w:val="004948EF"/>
    <w:rsid w:val="004A006C"/>
    <w:rsid w:val="004A61D8"/>
    <w:rsid w:val="004B459B"/>
    <w:rsid w:val="004E2112"/>
    <w:rsid w:val="004E7E5D"/>
    <w:rsid w:val="00500428"/>
    <w:rsid w:val="00506611"/>
    <w:rsid w:val="00522E34"/>
    <w:rsid w:val="00526AA1"/>
    <w:rsid w:val="00550209"/>
    <w:rsid w:val="00554469"/>
    <w:rsid w:val="005576BB"/>
    <w:rsid w:val="00564B73"/>
    <w:rsid w:val="00570931"/>
    <w:rsid w:val="00582CEC"/>
    <w:rsid w:val="005834DA"/>
    <w:rsid w:val="005846A1"/>
    <w:rsid w:val="005920D1"/>
    <w:rsid w:val="005A2663"/>
    <w:rsid w:val="005A4BF0"/>
    <w:rsid w:val="005A7D09"/>
    <w:rsid w:val="005C0610"/>
    <w:rsid w:val="005E4705"/>
    <w:rsid w:val="005F6A4B"/>
    <w:rsid w:val="006023CB"/>
    <w:rsid w:val="00603500"/>
    <w:rsid w:val="00610D20"/>
    <w:rsid w:val="00615084"/>
    <w:rsid w:val="0061623C"/>
    <w:rsid w:val="00627351"/>
    <w:rsid w:val="00633FCA"/>
    <w:rsid w:val="006349C0"/>
    <w:rsid w:val="00663EE8"/>
    <w:rsid w:val="006645A5"/>
    <w:rsid w:val="00672D6D"/>
    <w:rsid w:val="006863BD"/>
    <w:rsid w:val="00686450"/>
    <w:rsid w:val="006B1D27"/>
    <w:rsid w:val="006C339A"/>
    <w:rsid w:val="006D18F2"/>
    <w:rsid w:val="006E0F0D"/>
    <w:rsid w:val="0071230E"/>
    <w:rsid w:val="00726F33"/>
    <w:rsid w:val="007826C6"/>
    <w:rsid w:val="007C3BEB"/>
    <w:rsid w:val="007D7029"/>
    <w:rsid w:val="007E15BC"/>
    <w:rsid w:val="007F3553"/>
    <w:rsid w:val="00811270"/>
    <w:rsid w:val="0081787B"/>
    <w:rsid w:val="008206DC"/>
    <w:rsid w:val="00823A69"/>
    <w:rsid w:val="0083207B"/>
    <w:rsid w:val="00843D58"/>
    <w:rsid w:val="008806B9"/>
    <w:rsid w:val="00885E08"/>
    <w:rsid w:val="00893801"/>
    <w:rsid w:val="00897E13"/>
    <w:rsid w:val="008A773E"/>
    <w:rsid w:val="008C213C"/>
    <w:rsid w:val="008D389C"/>
    <w:rsid w:val="008E064C"/>
    <w:rsid w:val="008F474B"/>
    <w:rsid w:val="008F6787"/>
    <w:rsid w:val="00904F7C"/>
    <w:rsid w:val="00920E72"/>
    <w:rsid w:val="0093067F"/>
    <w:rsid w:val="009307D4"/>
    <w:rsid w:val="00941EE3"/>
    <w:rsid w:val="00943690"/>
    <w:rsid w:val="00944F46"/>
    <w:rsid w:val="00960D95"/>
    <w:rsid w:val="00992E2C"/>
    <w:rsid w:val="00995445"/>
    <w:rsid w:val="009A580D"/>
    <w:rsid w:val="009B75DC"/>
    <w:rsid w:val="009D295B"/>
    <w:rsid w:val="009E2F7A"/>
    <w:rsid w:val="00A06519"/>
    <w:rsid w:val="00A24874"/>
    <w:rsid w:val="00A5317C"/>
    <w:rsid w:val="00A62A12"/>
    <w:rsid w:val="00A66FE9"/>
    <w:rsid w:val="00A72A77"/>
    <w:rsid w:val="00AB2B1C"/>
    <w:rsid w:val="00AF0235"/>
    <w:rsid w:val="00AF32CD"/>
    <w:rsid w:val="00AF5D08"/>
    <w:rsid w:val="00B13773"/>
    <w:rsid w:val="00B14E4E"/>
    <w:rsid w:val="00B210C2"/>
    <w:rsid w:val="00B64F0A"/>
    <w:rsid w:val="00B93EA3"/>
    <w:rsid w:val="00BA177C"/>
    <w:rsid w:val="00BC1FE9"/>
    <w:rsid w:val="00BD6C05"/>
    <w:rsid w:val="00BF581C"/>
    <w:rsid w:val="00C0267A"/>
    <w:rsid w:val="00C05080"/>
    <w:rsid w:val="00C10B3A"/>
    <w:rsid w:val="00C119D2"/>
    <w:rsid w:val="00C310A9"/>
    <w:rsid w:val="00C400C0"/>
    <w:rsid w:val="00C5548E"/>
    <w:rsid w:val="00C557F6"/>
    <w:rsid w:val="00C5661C"/>
    <w:rsid w:val="00C702FF"/>
    <w:rsid w:val="00C755F3"/>
    <w:rsid w:val="00C83881"/>
    <w:rsid w:val="00CA72E5"/>
    <w:rsid w:val="00CA7ABA"/>
    <w:rsid w:val="00CB1A8A"/>
    <w:rsid w:val="00CC0798"/>
    <w:rsid w:val="00CD3B59"/>
    <w:rsid w:val="00D00679"/>
    <w:rsid w:val="00D13A48"/>
    <w:rsid w:val="00D26006"/>
    <w:rsid w:val="00D32712"/>
    <w:rsid w:val="00D51937"/>
    <w:rsid w:val="00D62CD4"/>
    <w:rsid w:val="00D643EC"/>
    <w:rsid w:val="00D76B83"/>
    <w:rsid w:val="00D92E26"/>
    <w:rsid w:val="00D93FC1"/>
    <w:rsid w:val="00DA5058"/>
    <w:rsid w:val="00DB0753"/>
    <w:rsid w:val="00DB34B3"/>
    <w:rsid w:val="00DB6903"/>
    <w:rsid w:val="00DB7652"/>
    <w:rsid w:val="00DD5B2E"/>
    <w:rsid w:val="00DD5BB7"/>
    <w:rsid w:val="00DF0EA6"/>
    <w:rsid w:val="00E04E3A"/>
    <w:rsid w:val="00E21BC0"/>
    <w:rsid w:val="00E27D27"/>
    <w:rsid w:val="00E33C9A"/>
    <w:rsid w:val="00E347F7"/>
    <w:rsid w:val="00E42289"/>
    <w:rsid w:val="00E466D5"/>
    <w:rsid w:val="00E52235"/>
    <w:rsid w:val="00E6523D"/>
    <w:rsid w:val="00E70186"/>
    <w:rsid w:val="00E701E9"/>
    <w:rsid w:val="00E81B1A"/>
    <w:rsid w:val="00E84F77"/>
    <w:rsid w:val="00E95602"/>
    <w:rsid w:val="00EA4F39"/>
    <w:rsid w:val="00EA569F"/>
    <w:rsid w:val="00EB4BB8"/>
    <w:rsid w:val="00EB6508"/>
    <w:rsid w:val="00EC6C26"/>
    <w:rsid w:val="00ED3D5D"/>
    <w:rsid w:val="00EE5A66"/>
    <w:rsid w:val="00EF3C27"/>
    <w:rsid w:val="00EF763D"/>
    <w:rsid w:val="00F261F1"/>
    <w:rsid w:val="00F448FA"/>
    <w:rsid w:val="00F5123D"/>
    <w:rsid w:val="00F53590"/>
    <w:rsid w:val="00F656E4"/>
    <w:rsid w:val="00F85CCB"/>
    <w:rsid w:val="00F954E3"/>
    <w:rsid w:val="00F97725"/>
    <w:rsid w:val="00FA1A66"/>
    <w:rsid w:val="00FC57BC"/>
    <w:rsid w:val="00FD58C9"/>
    <w:rsid w:val="00FD65C1"/>
    <w:rsid w:val="00FF201F"/>
    <w:rsid w:val="00FF2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C2D77"/>
  <w15:docId w15:val="{D3F90308-C6F8-42C1-A919-D2BD1978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E21BC0"/>
    <w:pPr>
      <w:spacing w:after="0" w:line="240" w:lineRule="auto"/>
      <w:jc w:val="center"/>
      <w:outlineLvl w:val="0"/>
    </w:pPr>
    <w:rPr>
      <w:b/>
      <w:sz w:val="40"/>
      <w:szCs w:val="40"/>
    </w:rPr>
  </w:style>
  <w:style w:type="paragraph" w:styleId="Heading2">
    <w:name w:val="heading 2"/>
    <w:basedOn w:val="Normal"/>
    <w:next w:val="Normal"/>
    <w:link w:val="Heading2Char"/>
    <w:uiPriority w:val="9"/>
    <w:unhideWhenUsed/>
    <w:qFormat/>
    <w:rsid w:val="00DF0EA6"/>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D93FC1"/>
    <w:pPr>
      <w:keepNext/>
      <w:keepLines/>
      <w:spacing w:before="40" w:after="0"/>
      <w:jc w:val="both"/>
      <w:outlineLvl w:val="2"/>
    </w:pPr>
    <w:rPr>
      <w:rFonts w:ascii="Cambria" w:eastAsia="Times New Roman" w:hAnsi="Cambria"/>
      <w:b/>
      <w:color w:val="000000" w:themeColor="text1"/>
      <w:sz w:val="28"/>
      <w:szCs w:val="28"/>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E21BC0"/>
    <w:rPr>
      <w:b/>
      <w:sz w:val="40"/>
      <w:szCs w:val="40"/>
      <w:lang w:eastAsia="en-US"/>
    </w:rPr>
  </w:style>
  <w:style w:type="character" w:customStyle="1" w:styleId="Heading2Char">
    <w:name w:val="Heading 2 Char"/>
    <w:link w:val="Heading2"/>
    <w:uiPriority w:val="9"/>
    <w:rsid w:val="00DF0EA6"/>
    <w:rPr>
      <w:rFonts w:ascii="Cambria" w:eastAsia="Times New Roman" w:hAnsi="Cambria" w:cs="Times New Roman"/>
      <w:color w:val="365F91"/>
      <w:sz w:val="26"/>
      <w:szCs w:val="26"/>
    </w:rPr>
  </w:style>
  <w:style w:type="character" w:customStyle="1" w:styleId="Heading3Char">
    <w:name w:val="Heading 3 Char"/>
    <w:link w:val="Heading3"/>
    <w:uiPriority w:val="9"/>
    <w:rsid w:val="00D93FC1"/>
    <w:rPr>
      <w:rFonts w:ascii="Cambria" w:eastAsia="Times New Roman" w:hAnsi="Cambria"/>
      <w:b/>
      <w:color w:val="000000" w:themeColor="text1"/>
      <w:sz w:val="28"/>
      <w:szCs w:val="28"/>
      <w:lang w:eastAsia="en-US"/>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paragraph" w:styleId="EndnoteText">
    <w:name w:val="endnote text"/>
    <w:basedOn w:val="Normal"/>
    <w:link w:val="EndnoteTextChar"/>
    <w:uiPriority w:val="99"/>
    <w:semiHidden/>
    <w:unhideWhenUsed/>
    <w:rsid w:val="00E04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4E3A"/>
    <w:rPr>
      <w:lang w:eastAsia="en-US"/>
    </w:rPr>
  </w:style>
  <w:style w:type="character" w:styleId="EndnoteReference">
    <w:name w:val="endnote reference"/>
    <w:basedOn w:val="DefaultParagraphFont"/>
    <w:uiPriority w:val="99"/>
    <w:semiHidden/>
    <w:unhideWhenUsed/>
    <w:rsid w:val="00E04E3A"/>
    <w:rPr>
      <w:vertAlign w:val="superscript"/>
    </w:rPr>
  </w:style>
  <w:style w:type="paragraph" w:styleId="FootnoteText">
    <w:name w:val="footnote text"/>
    <w:basedOn w:val="Normal"/>
    <w:link w:val="FootnoteTextChar"/>
    <w:uiPriority w:val="99"/>
    <w:semiHidden/>
    <w:unhideWhenUsed/>
    <w:rsid w:val="00E04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E3A"/>
    <w:rPr>
      <w:lang w:eastAsia="en-US"/>
    </w:rPr>
  </w:style>
  <w:style w:type="character" w:styleId="FootnoteReference">
    <w:name w:val="footnote reference"/>
    <w:basedOn w:val="DefaultParagraphFont"/>
    <w:uiPriority w:val="99"/>
    <w:semiHidden/>
    <w:unhideWhenUsed/>
    <w:rsid w:val="00E04E3A"/>
    <w:rPr>
      <w:vertAlign w:val="superscript"/>
    </w:rPr>
  </w:style>
  <w:style w:type="character" w:styleId="Strong">
    <w:name w:val="Strong"/>
    <w:basedOn w:val="DefaultParagraphFont"/>
    <w:uiPriority w:val="22"/>
    <w:qFormat/>
    <w:rsid w:val="0001571B"/>
    <w:rPr>
      <w:b/>
      <w:bCs/>
      <w:i/>
    </w:rPr>
  </w:style>
  <w:style w:type="character" w:styleId="Hyperlink">
    <w:name w:val="Hyperlink"/>
    <w:basedOn w:val="DefaultParagraphFont"/>
    <w:uiPriority w:val="99"/>
    <w:unhideWhenUsed/>
    <w:rsid w:val="0001571B"/>
    <w:rPr>
      <w:color w:val="0563C1" w:themeColor="hyperlink"/>
      <w:u w:val="single"/>
    </w:rPr>
  </w:style>
  <w:style w:type="paragraph" w:styleId="TOC1">
    <w:name w:val="toc 1"/>
    <w:basedOn w:val="Normal"/>
    <w:next w:val="Normal"/>
    <w:autoRedefine/>
    <w:uiPriority w:val="39"/>
    <w:unhideWhenUsed/>
    <w:rsid w:val="0001571B"/>
    <w:pPr>
      <w:spacing w:after="100"/>
    </w:pPr>
    <w:rPr>
      <w:b/>
      <w:sz w:val="24"/>
    </w:rPr>
  </w:style>
  <w:style w:type="paragraph" w:styleId="TOC3">
    <w:name w:val="toc 3"/>
    <w:basedOn w:val="Normal"/>
    <w:next w:val="Normal"/>
    <w:autoRedefine/>
    <w:uiPriority w:val="39"/>
    <w:unhideWhenUsed/>
    <w:rsid w:val="0001571B"/>
    <w:pPr>
      <w:spacing w:after="100"/>
      <w:ind w:left="440"/>
    </w:pPr>
  </w:style>
  <w:style w:type="character" w:styleId="FollowedHyperlink">
    <w:name w:val="FollowedHyperlink"/>
    <w:basedOn w:val="DefaultParagraphFont"/>
    <w:uiPriority w:val="99"/>
    <w:semiHidden/>
    <w:unhideWhenUsed/>
    <w:rsid w:val="00C75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nairpartnership.org/cac/wp-content/uploads/2018/03/Final-CAC-Draft-Guidelines-EBR-Submis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eanairpartnership.org/cac/wp-content/uploads/2018/01/Final-CAC-Adaptation-Approach-Feedback-January-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TAF01\Public\CLEAN%20AIR%20PARTNERSHIP\Projects\Clean%20Air%20Council\Pamela\CAC%20Meetings,%20Presentations%20&amp;%20Notes\Meeting%20Notes%20CAC%20and%20C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58A80-B833-4018-BA99-266C5D3D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CAC and CAP</Template>
  <TotalTime>2</TotalTime>
  <Pages>9</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dc:description/>
  <cp:lastModifiedBy>Gaby Kalapos</cp:lastModifiedBy>
  <cp:revision>2</cp:revision>
  <dcterms:created xsi:type="dcterms:W3CDTF">2018-04-03T15:44:00Z</dcterms:created>
  <dcterms:modified xsi:type="dcterms:W3CDTF">2018-04-03T15:44:00Z</dcterms:modified>
</cp:coreProperties>
</file>